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625/2013 vom 22. November 2013</w:t>
      </w:r>
    </w:p>
    <w:p>
      <w:r>
        <w:t>Bundesgericht, 2013-11-22, DE</w:t>
      </w:r>
    </w:p>
    <w:p>
      <w:r>
        <w:rPr>
          <w:b/>
        </w:rPr>
        <w:t xml:space="preserve">Quelle: </w:t>
      </w:r>
      <w:r>
        <w:t>https://mcp.opencaselaw.ch/entscheid/bger_6B_625_2013</w:t>
      </w:r>
    </w:p>
    <w:p>
      <w:r>
        <w:t>FR: TF 6B 625/2013 du 22 novembre 2013</w:t>
      </w:r>
    </w:p>
    <w:p>
      <w:r>
        <w:t>IT: TF 6B 625/2013 del 22 novembre 2013</w:t>
      </w:r>
    </w:p>
    <w:p>
      <w:pPr>
        <w:pStyle w:val="Heading2"/>
      </w:pPr>
      <w:r>
        <w:t>Regeste</w:t>
      </w:r>
    </w:p>
    <w:p>
      <w:r>
        <w:t>Nötigung; Willkür, Strafzumessung | Straftaten</w:t>
      </w:r>
    </w:p>
    <w:p>
      <w:pPr>
        <w:pStyle w:val="Heading2"/>
      </w:pPr>
      <w:r>
        <w:t>Erwägungen</w:t>
      </w:r>
    </w:p>
    <w:p>
      <w:r>
        <w:rPr>
          <w:b/>
        </w:rPr>
        <w:t>E. 1</w:t>
      </w:r>
    </w:p>
    <w:p>
      <w:r>
        <w:t>In der Beschwerde ist in gedrängter Form darzulegen, inwiefern der angefochtene Akt Recht verletzt ( Art. 42 Abs. 2 BGG ). Strengere Anforderungen gelten, wenn die Verletzung von Grundrechten einschliesslich willkürlicher Sachverhaltsfeststellung gerügt werden ( Art. 106 Abs. 2 BGG ; BGE 138 I 171 E. 1.4; 134 II 244 E. 2.1 und 2.2). Allgemein gehaltene Einwände, lediglich erneute Bekräftigungen des im kantonalen Verfahren eingenommenen Standpunkts oder die blosse Behauptung des Gegenteils genügen nicht (Urteil 6B_557/2012 vom 7. Mai 2013 E. 1).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137 III 226 ). Genügt die Beschwerde diesen Anforderungen nicht, ist darauf nicht einzutreten ( BGE 137 IV 1 E. 4.2.3 S. 5).</w:t>
      </w:r>
    </w:p>
    <w:p>
      <w:r>
        <w:rPr>
          <w:b/>
        </w:rPr>
        <w:t>E. 2</w:t>
      </w:r>
    </w:p>
    <w:p>
      <w:r>
        <w:t>Die Beschwerdeführerin rügt die Verletzung des Anklageprinzips. Es fehle an einer präzisen Umschreibung des Sachverhalts. Die Rüge ist unbegründet. Es kann auf das vorinstanzliche Urteil S. 7 sowie die Erwägungen des Bezirksgerichts S. 14-16 verwiesen werden.</w:t>
      </w:r>
    </w:p>
    <w:p>
      <w:r>
        <w:rPr>
          <w:b/>
        </w:rPr>
        <w:t>E. 3</w:t>
      </w:r>
    </w:p>
    <w:p>
      <w:r>
        <w:t>Die Beschwerdeführerin macht eine willkürliche Tatsachenfeststellung und Beweiswürdigung, eine Verletzung des Grundsatzes in dubio pro reo sowie der Begründungspflicht gemäss Art. 80 Abs. 2 StPO geltend. Sie habe aufgrund der Haftsituation ein fingiertes Geständnis abgelegt und nach der Haftentlassung aus Angst vor einer Rückversetzung weiterhin falsche Geständnisse abgelegt. Ihre Aussagen seien frei erfunden. Inwiefern die bei der Hausdurchsuchung sichergestellten Unterlagen das Geständnis stützen sollten, werde von der Vorinstanz nicht substanziiert begründet. Die herangezogenen "Tatsachen und Indizien" reichten nicht aus, um zweifelsfrei von ihrer Täterschaft ausgehen zu können. Zweifel seien auch angebracht, weil D.________ in die Untersuchung nicht weiter eingebunden und nicht abgeklärt worden sei, ob es sich bei dessen Aussagen um reine Schutzbehauptungen handelte. Eine Verletzung von Art. 80 Abs. 2 StPO ist nicht nachvollziehbar. Der Anspruch auf rechtliches Gehör im Sinne von Art. 29 Abs. 2 BV ist angesichts der ausführlichen kantonalen Urteile offensichtlich nicht verletzt (vgl. BGE 137 II 266 E. 3.2; 135 III 670 E. 3.3.1 ; 134 I 83 E. 4.1). Eine Verfassungsverletzung ist weder belegt noch ersichtlich. Auf die appellatorischen Vorbringen ist nicht einzutreten (oben E. 1).</w:t>
      </w:r>
    </w:p>
    <w:p>
      <w:r>
        <w:rPr>
          <w:b/>
        </w:rPr>
        <w:t>E. 4</w:t>
      </w:r>
    </w:p>
    <w:p>
      <w:r>
        <w:t>Die Beschwerdeführerin behauptet zu Unrecht eine bundesrechtswidrige Strafzumessung. Mit der straferhöhenden Berücksichtigung der Vorstrafen (Urteil S. 24) verletzt die Vorinstanz das ihr zustehende weite Ermessen nicht ( BGE 134 IV 19 E. 2.1). Vorstrafen sind grundsätzlich straferhöhend zu gewichten ( BGE 136 IV 1 E. 2.6.2). Die Vorinstanz verkennt das Gutachten aus dem Jahre 2003 nicht. Sie stützt sich willkürfrei auf das eigens erstellte, aktuelle Gutachten aus dem Jahre 2010 und hält entsprechend fest, dass keine verminderte Schuldfähigkeit besteht, aber die psychische Erkrankung das Verschulden der Beschwerdeführerin erheblich mildert (Urteil S. 23). Die Alkoholabhängigkeit musste nicht weiter strafmildernd berücksichtigt werden. Wie die Beschwerdeführerin vorbringt, bestehen gemäss aktuellem Gutachten deswegen keine Hinweise auf eine herabgesetzte Steuerungsfähigkeit (Beschwerde S. 13). Die Vorinstanz begründet die Wahl der Strafart gestützt auf BGE 134 IV 82 E. 4.1, 97 E. 4.2.2 bundesrechtskonform (Urteil S. 24 f.). Insbesondere liess sich die mehrfach einschlägig vorbestrafte Beschwerdeführerin durch die bisherigen Strafverfahren offenkundig nicht beeindrucken (ferner Urteil 6B_333/2012 vom 11. März 2013). Angesichts des hohen Rückfallrisikos sind die Voraussetzungen des bedingten Strafvollzugs gemäss Art. 42 Abs. 1 StGB nicht erfüllt.</w:t>
      </w:r>
    </w:p>
    <w:p>
      <w:r>
        <w:rPr>
          <w:b/>
        </w:rPr>
        <w:t>E. 5</w:t>
      </w:r>
    </w:p>
    <w:p>
      <w:r>
        <w:t>Die Beschwerde ist abzuweisen, soweit darauf eingetreten werden kann. Das Gesuch um unentgeltliche Rechtspflege ist wegen Aussichtslosigkeit der Rechtsbegehren abzuweisen ( Art. 64 BGG ). Angesichts ihrer finanziellen Situation sind die Gerichtskosten herabzusetzen (Art. 65 Abs. 2 und 66 Abs. 1 BGG). Eine Parteientschädigung wäre ihr auch mangels Rechtsvertretung nicht auszurichten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