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6B_623/2020 vom 11. März 2021</w:t>
      </w:r>
    </w:p>
    <w:p>
      <w:r>
        <w:t>Bundesgericht, 2021-03-11, FR</w:t>
      </w:r>
    </w:p>
    <w:p>
      <w:r>
        <w:rPr>
          <w:b/>
        </w:rPr>
        <w:t xml:space="preserve">Quelle: </w:t>
      </w:r>
      <w:r>
        <w:t>https://mcp.opencaselaw.ch/entscheid/bger_6B_623_2020</w:t>
      </w:r>
    </w:p>
    <w:p>
      <w:r>
        <w:t>FR: TF 6B_623/2020 du 11 mars 2021</w:t>
      </w:r>
    </w:p>
    <w:p>
      <w:r>
        <w:t>IT: TF 6B_623/2020 del 11 marzo 2021</w:t>
      </w:r>
    </w:p>
    <w:p>
      <w:pPr>
        <w:pStyle w:val="Heading2"/>
      </w:pPr>
      <w:r>
        <w:t>Erwägungen</w:t>
      </w:r>
    </w:p>
    <w:p>
      <w:r>
        <w:rPr>
          <w:b/>
        </w:rPr>
        <w:t>E. 1</w:t>
      </w:r>
    </w:p>
    <w:p>
      <w:r>
        <w:t>La recourante dénonce la violation du principe de l'accusation. Elle reproche à la cour cantonale de s'être écartée de l'acte d'accusation, en retenant qu'elle avait modifié le nombre des bulletins de versement et/ou le montant total des OPM, notamment en remplaçant des factures de la société par des factures lui appartenant.</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p. 65; arrêt 6B_665/2017 du 10 janvier 2018 consid. 1.1). Des imprécisions relatives au lieu ou à la date sont sans portée, dans la mesure où le prévenu ne peut avoir de doute sur le comportement qui lui est reproché (arrêts 6B_696/2019 du 24 septembre 2019 consid. 1.2.1; 6B_275/2016 du 9 décembre 2016 consid. 2.1 et la référence citée).</w:t>
      </w:r>
    </w:p>
    <w:p>
      <w:r>
        <w:rPr>
          <w:b/>
        </w:rPr>
        <w:t>E. 1.2</w:t>
      </w:r>
    </w:p>
    <w:p>
      <w:r>
        <w:t>L'acte d'accusation alternatif du 1er avril 2019 retient, sous B.I.a, ce qui suit:</w:t>
      </w:r>
    </w:p>
    <w:p>
      <w:r>
        <w:t>" Aux dates et occurrences décrites ci-dessous, A.________, après avoir fait signer l'ordre de paiement multi à B.________:</w:t>
      </w:r>
    </w:p>
    <w:p>
      <w:r>
        <w:t>- a annexé des bulletins de versement complémentaires qu'il n'appartenait pas à B.________ ou à C.________ Ltd d'honorer;</w:t>
      </w:r>
    </w:p>
    <w:p>
      <w:r>
        <w:t>- a modifié manuellement l'ordre de paiement multi, en particulier le chiffre indiqué sous le " nombre de bulletins joints "</w:t>
      </w:r>
    </w:p>
    <w:p>
      <w:r>
        <w:t>et le montant total mentionné;</w:t>
      </w:r>
    </w:p>
    <w:p>
      <w:r>
        <w:t>- a adressé à la banque les documents modifiés en vue d'exécution (...) ".</w:t>
      </w:r>
    </w:p>
    <w:p>
      <w:r>
        <w:rPr>
          <w:b/>
        </w:rPr>
        <w:t>E. 1.3</w:t>
      </w:r>
    </w:p>
    <w:p>
      <w:r>
        <w:t>La cour cantonale a retenu que la recourante avait modifié, après signature par l'intimé, le nombre des bulletins de versement</w:t>
      </w:r>
    </w:p>
    <w:p>
      <w:r>
        <w:t>et/ou le montant total des OPM, de manière à pouvoir y inclure des factures lui appartenant, soit par le biais d'ajouts, soit</w:t>
      </w:r>
    </w:p>
    <w:p>
      <w:r>
        <w:t>en remplacement de factures de la société (ce qui était d'autant plus facile qu'elle était libre d'indiquer le montant de son choix sur une grande partie de ses BVR) (arrêt attaqué p. 3, 28). Le fait de remplacer des bulletins par des autres constitue un mode de procéder nouveau, qui n'est pas décrit par l'acte d'accusation. L'acte d'accusation ne parle en effet que d'ajout de bulletins supplémentaires. La recourante n'a pas eu l'occasion de s'exprimer sur ce nouveau mode de procéder. Elle n'a notamment pas pu faire valoir, comme elle le fait dans son mémoire au Tribunal fédéral, que les bulletins remplacés et donc impayés auraient dû faire l'objet de rappels, ce qui aurait dû alerter l'intimé, qui aurait dû se rendre compte des transactions litigieuses. Cette question n'a pas été examinée lors de l'instruction, et la cour cantonale ne donne aucune explication. En retenant que la recourante avait remplacé des factures, la cour cantonale a donc condamné la recourante pour des actes n'ayant pas été décrits dans l'acte d'accusation et n'ayant fait l'objet d'aucune instruction, de sorte qu'elle a violé le principe de l'accusation. Le recours doit donc être admis pour ce motif, sans qu'il soit nécessaire d'examiner les autres griefs.</w:t>
      </w:r>
    </w:p>
    <w:p>
      <w:r>
        <w:rPr>
          <w:b/>
        </w:rPr>
        <w:t>E. 2</w:t>
      </w:r>
    </w:p>
    <w:p>
      <w:r>
        <w:t>Au vu de ce qui précède, le recours doit être admis, l'arrêt attaqué doit être annulé et la cause doit être renvoyée à la cour cantonale pour nouveau jugement.</w:t>
      </w:r>
    </w:p>
    <w:p>
      <w:r>
        <w:t>La recourante qui obtient gain de cause ne supportera pas de frais judiciaires ( art. 66 al. 1 LTF ). Elle peut prétendre à une indemnité de dépens, à la charge, pour moitié, du canton de Genève et, pour moitié, des intimés B.________ et C.________ Ltd., solidairement entre eux ( art. 68 al. 1 et 4 LTF ). Les intimés qui succombent supporteront solidairement une partie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