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6B_622/2020 vom 9. Juni 2020</w:t>
      </w:r>
    </w:p>
    <w:p>
      <w:r>
        <w:t>Bundesgericht, 2020-06-09, FR</w:t>
      </w:r>
    </w:p>
    <w:p>
      <w:r>
        <w:rPr>
          <w:b/>
        </w:rPr>
        <w:t xml:space="preserve">Quelle: </w:t>
      </w:r>
      <w:r>
        <w:t>https://mcp.opencaselaw.ch/entscheid/bger_6B_622_2020</w:t>
      </w:r>
    </w:p>
    <w:p>
      <w:r>
        <w:t>FR: TF 6B_622/2020 du 9 juin 2020</w:t>
      </w:r>
    </w:p>
    <w:p>
      <w:r>
        <w:t>IT: TF 6B_622/2020 del 9 giugno 2020</w:t>
      </w:r>
    </w:p>
    <w:p>
      <w:pPr>
        <w:pStyle w:val="Heading2"/>
      </w:pPr>
      <w:r>
        <w:t>Erwägungen</w:t>
      </w:r>
    </w:p>
    <w:p>
      <w:r>
        <w:rPr>
          <w:b/>
        </w:rPr>
        <w:t>E. 1</w:t>
      </w:r>
    </w:p>
    <w:p>
      <w:r>
        <w:t>Le 13 mai 2019, B.________ a déposé plainte contre son ex-époux A.________, en lui reprochant d'avoir adressé, à diverses autorités, plusieurs courriers et courriels qu'elle tenait pour attentatoires à son honneur.</w:t>
      </w:r>
    </w:p>
    <w:p>
      <w:r>
        <w:t>Par ordonnance du 26 février 2020, le Ministère public de l'arrondissement du Nord vaudois a refusé d'entrer en matière sur cette plaine et a mis les frais de procédure, par 150 fr., à la charge de A.________.</w:t>
      </w:r>
    </w:p>
    <w:p>
      <w:r>
        <w:t>Par arrêt du 12 mars 2020, la Chambre des recours pénale du Tribunal cantonal du canton de Vaud a déclaré irrecevable le recours formé par A.________ contre l'ordonnance de non-entrée en matière du 26 février 2020.</w:t>
      </w:r>
    </w:p>
    <w:p>
      <w:r>
        <w:t>A.________ forme recours en matière pénale au Tribunal fédéral contre l'arrêt du 12 mars 2020.</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le mémoire de recours du recourant ne comprend pas de conclusions, de sorte qu'on ignore ce que ce dernier entend obtenir. Par ailleurs, c'est en vain que l'on cherche, dans ses longs développements totalement étrangers à l'objet de l'arrêt attaqué, un grief topique propre à démontrer que la cour cantonale aurait pu violer le droit.</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