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6B_622/2013 vom 6. Februar 2014</w:t>
      </w:r>
    </w:p>
    <w:p>
      <w:r>
        <w:t>Bundesgericht, 2014-02-06, FR</w:t>
      </w:r>
    </w:p>
    <w:p>
      <w:r>
        <w:rPr>
          <w:b/>
        </w:rPr>
        <w:t xml:space="preserve">Quelle: </w:t>
      </w:r>
      <w:r>
        <w:t>https://mcp.opencaselaw.ch/entscheid/bger_6B_622_2013</w:t>
      </w:r>
    </w:p>
    <w:p>
      <w:r>
        <w:t>FR: TF 6B_622/2013 du 6 février 2014</w:t>
      </w:r>
    </w:p>
    <w:p>
      <w:r>
        <w:t>IT: TF 6B_622/2013 del 6 febbraio 2014</w:t>
      </w:r>
    </w:p>
    <w:p>
      <w:pPr>
        <w:pStyle w:val="Heading2"/>
      </w:pPr>
      <w:r>
        <w:t>Erwägungen</w:t>
      </w:r>
    </w:p>
    <w:p>
      <w:r>
        <w:rPr>
          <w:b/>
        </w:rPr>
        <w:t>E. 1.1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Le recourant débute ses écritures par un résumé de la procédure et une présentation personnelle des faits. Dans la mesure où il s'écarte des faits retenus par la cour cantonale sans démontrer que ceux-ci auraient été établis de manière arbitraire, son exposé est appellatoire, partant irrecevable.</w:t>
      </w:r>
    </w:p>
    <w:p>
      <w:r>
        <w:rPr>
          <w:b/>
        </w:rPr>
        <w:t>E. 2</w:t>
      </w:r>
    </w:p>
    <w:p>
      <w:r>
        <w:t>Le recourant conteste s'être rendu coupable de contravention à la loi fédérale sur l'acquisition d'immeubles par des personnes à l'étranger.</w:t>
      </w:r>
    </w:p>
    <w:p>
      <w:r>
        <w:rPr>
          <w:b/>
        </w:rPr>
        <w:t>E. 2.1</w:t>
      </w:r>
    </w:p>
    <w:p>
      <w:r>
        <w:t>Aux termes de l'art. 29 de la loi fédérale sur l'acquisition d'immeubles par des personnes à l'étranger (LFAIE; RS 211.412.41), quiconque, intentionnellement, fournit à l'autorité compétente, au conservateur du registre foncier ou au préposé au registre du commerce des indications inexactes ou incomplètes sur des faits dont pourrait dépendre l'assujettissement au régime de l'autorisation ou l'octroi de celle-ci, ou exploite astucieusement une erreur de l'autorité, est puni d'une peine privative de liberté de trois ans au plus ou d'une peine pécuniaire (al. 1). Quiconque, par négligence, fournit des indications inexactes ou incomplètes, est puni de l'amende jusqu'à 50'000 francs (al. 2).</w:t>
      </w:r>
    </w:p>
    <w:p>
      <w:r>
        <w:rPr>
          <w:b/>
        </w:rPr>
        <w:t>E. 2.2</w:t>
      </w:r>
    </w:p>
    <w:p>
      <w:r>
        <w:t>Une peine ou une mesure ne peut être prononcée qu'en raison d'un acte expressément réprimé par la loi ( art. 1 CP ). Le principe de la légalité (« nulla poena sine lege ») est aussi ancré expressément à l' art. 7 CEDH . Il se déduit également de l'art. 5 al. 1, 9 et 164 al. 1 let. c Cst. ( ATF 138 IV 13 consid. 4.1 p. 19 s.; ATF 129 IV 276 c. 1.1.1 p. 278 et les références citées). Le principe est violé lorsque quelqu'un est poursuivi pénalement en raison d'un comportement qui n'est pas visé par la loi ;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 ATF 138 IV 13 consid. 4.1 p. 19 s.). Il n'exclut pas une interprétation extensive de la loi à la charge du prévenu ( ATF 138 IV 13 consid. 4.1 p. 19 s.; ATF 137 IV 99 consid. 1.2 p. 100 s. et les références citées).</w:t>
      </w:r>
    </w:p>
    <w:p>
      <w:r>
        <w:t>La loi doit être formulée de manière telle qu'elle permette au citoyen de s'y conformer et de prévoir les conséquences d'un comportement déterminé avec un certain degré de certitude dépendant des circonstances ( ATF 138 IV 13 consid. 4.1 p. 20 et les références citées). L'exigence de précision de la base légale ne doit cependant pas être comprise d'une manière absolue. Le législateur ne peut pas renoncer à utiliser des définitions générales ou plus ou moins vagues, dont l'interprétation et l'application est laissée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138 IV 13 consid. 6.2 p. 20 et les références citées).</w:t>
      </w:r>
    </w:p>
    <w:p>
      <w:r>
        <w:rPr>
          <w:b/>
        </w:rPr>
        <w:t>E. 2.3</w:t>
      </w:r>
    </w:p>
    <w:p>
      <w:r>
        <w:t>En substance, la cour cantonale a retenu que l'opération de prêt à laquelle il est fait référence dans l'acte notarié du 11 janvier 2008 pouvait être soumise à autorisation au sens de la LFAIE, ou à tout le moins qu'il n'était pas d'emblée exclu que tel n'était pas le cas. Dès lors, le recourant devait fournir au conservateur du Registre foncier des informations complètes pour analyser cette question, soit, en particulier indiquer la nationalité étrangère ou le siège à l'étranger de la société créancière, pas forcément dans l'acte, mais, par exemple, dans une lettre de transmission. L'abréviation B.V. (beslosten venootschap) désignait certes en droit commercial hollandais les sociétés à responsabilité limitée privées (type Sàrl) mais cette indication, qui n'était pas notoire, était en tant que telle insuffisante pour souligner la problématique de l'assujettissement. Avant de mettre l'acte en suspens, le conservateur du Registre foncier avait ainsi dû procéder à des recherches pour vérifier qu'il ne s'agissait pas d'une entité inscrite au Registre du commerce en Suisse. Subjectivement, on pouvait reprocher au recourant un manque blâmable d'effort dès lors qu'il disposait de tous les éléments pour renseigner correctement les autorités compétentes ou qu'il pouvait facilement les obtenir.</w:t>
      </w:r>
    </w:p>
    <w:p>
      <w:r>
        <w:t>En d'autres termes, il est reproché au recourant d'avoir, par négligence, fourni des informations incomplètes en n'indiquant pas le siège à l'étranger ou la nationalité étrangère de la créancière.</w:t>
      </w:r>
    </w:p>
    <w:p>
      <w:r>
        <w:rPr>
          <w:b/>
        </w:rPr>
        <w:t>E. 2.4</w:t>
      </w:r>
    </w:p>
    <w:p>
      <w:r>
        <w:t>L' art. 29 LFAIE punit celui qui fournit des informations incomplètes sur « des faits dont pourraient dépendre l'assujettissement ». Cette notion n'est pas définie comme telle dans la loi. Pour savoir ce qu'elle recouvre, il convient de se référer aux différents articles de la LFAIE et de l'ordonnance sur l'acquisition d'immeubles par des personnes à l'étranger (OAIE; RS 211.412.411) qui définissent les conditions d'un assujettissement et les différentes notions utiles à l'application de la loi (notamment art. 2 à 7a LFAIE et 1 à 8 OAIE). L' art. 17 al. 1 LFAIE prévoit que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Ainsi, le but de la norme est de soumettre au contrôle de l'autorité tous les cas où il n'est pas « d'emblée exclu » que la personne n'est pas soumise à autorisation. En d'autres termes, le but de la norme est de permettre aux autorités de déceler aisément quelles situations pourraient être soumises à la LFAIE, respectivement seraient d'emblée exclues. En sanctionnant celui qui fournit des informations inexactes ou incomplètes sur des faits dont pourrait dépendre l'assujettissement, l' art. 29 LFAIE ne vise qu'à favoriser ce but.</w:t>
      </w:r>
    </w:p>
    <w:p>
      <w:r>
        <w:t>Sous l'angle du principe de la légalité, le recourant ne pouvait pas nécessairement envisager que la mention B.V., qui attestait du caractère étranger de la société, ne serait pas suffisante et l'absence d'indication du siège de la société constitutive de l'infraction par négligence prévue à l' art. 29 al. 2 LFAIE . Ce d'autant moins que l'information fournie par le recourant, soit la mention B.V. après le nom de la société, a immédiatement fait réagir le conservateur du Registre foncier qui a suspendu la procédure comme le lui permet l' art. 18 LFAIE . Après une simple vérification au Registre du commerce, dont on rappelle que les informations qu'il contient, accessibles par Internet, sont des faits notoires (cf. ATF 138 II 557 consid. 6.2 p. 563 s.), le conservateur a constaté que l'acte dont l'inscription était requise pouvait éventuellement être soumis à autorisation et a requis le recourant de s'adresser à l'autorité compétente. Le but protégé par la norme a ainsi été atteint. Nonobstant l'absence de mention expresse de la nationalité étrangère ou du siège de la société à l'étranger, le comportement du recourant n'est, dans les circonstances du cas d'espèce, pas suffisamment caractérisé pour tomber sous le coup de l' art. 29 al. 2 LFAIE . Par conséquent, la cour cantonale a violé le droit fédéral en condamnant le recourant et celui-ci doit être acquitté de la contravention à l' art. 29 al. 2 LFAIE .</w:t>
      </w:r>
    </w:p>
    <w:p>
      <w:r>
        <w:rPr>
          <w:b/>
        </w:rPr>
        <w:t>E. 3</w:t>
      </w:r>
    </w:p>
    <w:p>
      <w:r>
        <w:t>Au vu de ce qui précède, le recours doit être admis dans la mesure où il est recevable, sans qu'il soit nécessaire d'examiner les autres griefs soulevés par le recourant. L'arrêt attaqué doit être annulé et la cause renvoyée à l'autorité précédente pour qu'elle prononce l'acquittement du recourant et pour nouvelle décision sur les frais et dépens de la procédure cantonale, ainsi que sur l'indemnité au sens de l' art. 429 CPP .</w:t>
      </w:r>
    </w:p>
    <w:p>
      <w:r>
        <w:t>Le recourant obtient gain de cause. Il ne supporte pas de frais (art. 65 al. 2 et 66 al. 1 LTF).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