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6B_621/2012 vom 23. Mai 2013</w:t>
      </w:r>
    </w:p>
    <w:p>
      <w:r>
        <w:t>Bundesgericht, 2013-05-23, DE</w:t>
      </w:r>
    </w:p>
    <w:p>
      <w:r>
        <w:rPr>
          <w:b/>
        </w:rPr>
        <w:t xml:space="preserve">Quelle: </w:t>
      </w:r>
      <w:r>
        <w:t>https://mcp.opencaselaw.ch/entscheid/bger_6B_621_2012</w:t>
      </w:r>
    </w:p>
    <w:p>
      <w:r>
        <w:t>FR: TF 6B_621/2012 du 23 mai 2013</w:t>
      </w:r>
    </w:p>
    <w:p>
      <w:r>
        <w:t>IT: TF 6B_621/2012 del 23 maggio 2013</w:t>
      </w:r>
    </w:p>
    <w:p>
      <w:pPr>
        <w:pStyle w:val="Heading2"/>
      </w:pPr>
      <w:r>
        <w:t>Erwägungen</w:t>
      </w:r>
    </w:p>
    <w:p>
      <w:r>
        <w:rPr>
          <w:b/>
        </w:rPr>
        <w:t>E. 1</w:t>
      </w:r>
    </w:p>
    <w:p>
      <w:r>
        <w:t>Die Beschwerdeführerin bringt vor, ein Schuldspruch wegen versuchter Anstiftung könne nur erfolgen, wenn nachgewiesen werde, dass sie zumindest annehmen musste, ihre Äusserungen seien geeignet gewesen, einen Tatentschluss hervorzurufen. Das sei nicht der Fall. Nach ihrer Aussage an der erstinstanzlichen Hauptverhandlung habe die Geschädigte nie erwartet, dass ihre Familie sie deswegen mit dem Tode bedrohen würde. Für ihren Vater sei der Wahrheitsgehalt der Äusserung entscheidend gewesen.</w:t>
      </w:r>
    </w:p>
    <w:p>
      <w:r>
        <w:t>Die Vorbringen sind unbehelflich. Wie die Beschwerdeführerin und die Geschädigte bestätigten, bedeutet der Ausdruck "Ehre reinigen", "dass man eine Frau tötet" (Urteil S. 12). Nach der erstinstanzlichen Zusammenfassung der Aussagen der Geschädigten bezweckten die Anschuldigungen der Beschwerdeführerin, die Familie so unter Druck zu setzen, dass ihr nichts anderes übrig blieb, als sie zu töten (Urteil S. 14). Wie die Vorinstanz willkürfrei feststellt, rief die Beschwerdeführerin den Vater und die Brüder dazu auf, ihre Ehre zu reinigen, wobei feststeht, dass damit die Tötung der Geschädigten gemeint war. Der Vater stellte unmissverständlich klar, dass die Geschädigte umgebracht wird, wenn sich die Verdächtigungen bewahrheiten (Urteil S. 21).</w:t>
      </w:r>
    </w:p>
    <w:p>
      <w:r>
        <w:rPr>
          <w:b/>
        </w:rPr>
        <w:t>E. 2</w:t>
      </w:r>
    </w:p>
    <w:p>
      <w:r>
        <w:t>Die Beschwerdeführerin macht geltend, ihr Verhalten könne nicht als Anstiftung zu einem Tötungsdelikt und schon gar nicht als Anstiftung zu Mord qualifiziert werden.</w:t>
      </w:r>
    </w:p>
    <w:p>
      <w:r>
        <w:rPr>
          <w:b/>
        </w:rPr>
        <w:t>E. 2.1</w:t>
      </w:r>
    </w:p>
    <w:p>
      <w:r>
        <w:t>Wer jemanden zu einem Verbrechen zu bestimmen versucht, wird wegen Versuchs dieses Verbrechens bestraft ( Art. 24 Abs. 2 StGB ).</w:t>
      </w:r>
    </w:p>
    <w:p>
      <w:r>
        <w:t>Nach dem massgebenden Sachverhalt ( Art. 105 Abs. 1 BGG ) rief die Beschwerdeführerin den Vater und die Brüder der Geschädigten auf, diese zu töten. Sie handelte mit direktem Vorsatz. Dass es nicht zur Tat kam, war dem Umstand zuzuschreiben, dass die Geschädigte ihren Vater von der Unwahrheit der Anschuldigungen zu überzeugen vermochte (Urteil S. 23). Es handelte sich um eine vollendet versuchte (erfolglose) Anstiftung zu einem Tötungsdelikt.</w:t>
      </w:r>
    </w:p>
    <w:p>
      <w:r>
        <w:rPr>
          <w:b/>
        </w:rPr>
        <w:t>E. 2.2</w:t>
      </w:r>
    </w:p>
    <w:p>
      <w:r>
        <w:t>Vorsätzliche Tötung ( Art. 111 StGB ) ist als Mord zu qualifizieren, wenn der Täter besonders skrupellos handelt, namentlich sein Beweggrund, der Zweck der Tat oder die Art der Ausführung besonders verwerflich sind ( Art. 112 StGB ).</w:t>
      </w:r>
    </w:p>
    <w:p>
      <w:r>
        <w:t>Nach den in gewissen Kulturen verbreiteten Vorstellungen soll die Tötung der nicht gefügigen oder unbotmässigen Frau oder Tochter die so genannte "Ehre" der Familie oder Sippe wiederherstellen. Neben den tödlichen Konsequenzen im Einzelfall nimmt dieses Instrument in den Händen der "Familie" den Frauen die Möglichkeit ihrer individuellen Entwicklung und Lebensgestaltung. Es übt eine lähmende, tödliche Drohung aus und terrorisiert auch unausgesprochen die dieser Herrschaft unterworfenen Frauen. Der zerstörenden Wirkung auf die Individualität sowie der jederzeit möglichen Denunziation und andauernden Herabsetzung sind die betroffenen Frauen zumeist schutzlos ausgesetzt. Ein familiäres Todesurteil haben in der Regel Familienmitglieder, insbesondere (jüngere) Brüder oder Neffen, zu vollstrecken (vgl. Urteil 6S.44/2007 vom 6. Juni 2007). Das Verbrechen wird im allgemeinen Sprachgebrauch als "Ehrenmord" bezeichnet. Es liegt nahe, die Tötung der Frau oder Tochter zwecks "Reinigung" der Ehre grundsätzlich als Mord zu qualifizieren. Beweggrund, Zweck der Tat und Art der Ausführung erscheinen in solchen Konstellationen besonders verwerflich ( BGE 127 IV 10 ; Urteil 6S.44/2007 vom 6. Juni 2007).</w:t>
      </w:r>
    </w:p>
    <w:p>
      <w:r>
        <w:t>Die Vorinstanz stützt sich auf BGE 127 IV 10 . Auf diesen Entscheid kann verwiesen werden. Nach ihren weiteren Feststellungen entsprach die Geschädigte ihren ehelichen Pflichten nicht gemäss den Vorstellungen ihres Ehemannes und der Beschwerdeführerin. Sie verliess ihn, nachdem er in eine psychiatrische Klinik eingewiesen worden war. Die Beschwerdeführerin verfolgte ihr Ziel auf heimtückische und perfide Weise. Nach erfolglosen Telefonaten erhöhte sie mit Briefen an die Nachbarn und den Gemeindepräsidenten in der Türkei den Druck auf die Familie. Sie wusste, dass die "Familienehre" damit massiv in Frage gestellt und die Familie gezwungen wurde, umgehend zu handeln.</w:t>
      </w:r>
    </w:p>
    <w:p>
      <w:r>
        <w:t>Mit der Qualifikation des angestifteten Verbrechens als Mord (Urteil S. 27) verletzt die Vorinstanz kein Bundesrecht.</w:t>
      </w:r>
    </w:p>
    <w:p>
      <w:r>
        <w:rPr>
          <w:b/>
        </w:rPr>
        <w:t>E. 3</w:t>
      </w:r>
    </w:p>
    <w:p>
      <w:r>
        <w:t>Die Beschwerdeführerin rügt die Strafe als unangemessen hart. Die persönlichen Verhältnisse, die massiven gesundheitlichen Einschränkungen, das fortgeschrittene Alter und die Strafempfindlichkeit würden unzureichend gewichtet.</w:t>
      </w:r>
    </w:p>
    <w:p>
      <w:r>
        <w:t>Versuchte Anstiftung zum Mord wird wie Mordversuch bestraft ( Art. 24 Abs. 2 StGB ). Die Strafe ist lebenslängliche Freiheitsstrafe oder Freiheitsstrafe nicht unter zehn Jahren ( Art. 112 StGB ). Bei versuchter Tatbegehung kann das Gericht die Strafe mildern ( Art. 22 Abs. 1 StGB ) und ist nicht an die angedrohte Mindeststrafe gebunden ( Art. 48a Abs. 1 StGB ). Verschieden schwer wiegenden Anstiftungsversuchen ist Rechnung zu tragen. Die erfolglose Anstiftung, bei welcher der Anstifter den Tatentschluss beim Angestifteten nicht zu wecken vermag, erscheint weniger gravierend (Urteil 6S.44/2007 vom 6. Juni 2007 E. 4.5.5).</w:t>
      </w:r>
    </w:p>
    <w:p>
      <w:r>
        <w:t>Die Beschwerdeführerin befand sich zur Tatzeit in einer chronischen psychosozialen Dauerbelastung. Die Vorinstanz verweist dazu auf BGE 127 IV 10 (vgl. E. 1b, 1e und E. 4). Für die Vorinstanz kommt eine Strafminderung wegen Strafempfindlichkeit nicht in Betracht. Die Beschwerdeführerin, die seit vierzig Jahren in der Schweiz lebt, zeigte sich bis zuletzt äusserst hasserfüllt und völlig uneinsichtig. Die medizinische Betreuung ist im Strafvollzug grundsätzlich gewährleistet. Sie ist nicht berufstätig und hat keine familiären Pflichten. Die Täterkomponenten wirken sich im Ergebnis neutral aus. Es liegen keine aussergewöhnlichen Umstände vor, so dass diese Beurteilung nicht zu beanstanden ist (Urteile 6B_446/2011 vom 27. Juli 2012 E. 9.4 und 6B_470/2009 vom 23. November 2009 E. 2.5).</w:t>
      </w:r>
    </w:p>
    <w:p>
      <w:r>
        <w:t>Die Vorinstanz legt die Einsatzstrafe bei zwölf Jahren fest. Diese reduziert sie wegen des Versuchs deutlich. Gemäss der Rechtsprechung ( BGE 121 IV 49 E. 1b) setzt sie die Einsatzstrafe um fünf Jahre herab. Das Strafmass erscheint nicht als unangemessen hart und liegt im vorinstanzlichen Ermessen (vgl. BGE 134 IV 17 E. 2.1).</w:t>
      </w:r>
    </w:p>
    <w:p>
      <w:r>
        <w:rPr>
          <w:b/>
        </w:rPr>
        <w:t>E. 4</w:t>
      </w:r>
    </w:p>
    <w:p>
      <w:r>
        <w:t>Die Beschwerde ist abzuweisen. Das Gesuch um unentgeltliche Rechtspflege ist gutzuheissen. Es sind keine Kosten zu erheben. Der Rechtsvertreter der Beschwerdeführerin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