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621/2008 vom 27. September 2008</w:t>
      </w:r>
    </w:p>
    <w:p>
      <w:r>
        <w:t>Bundesgericht, 2008-09-27, DE</w:t>
      </w:r>
    </w:p>
    <w:p>
      <w:r>
        <w:rPr>
          <w:b/>
        </w:rPr>
        <w:t xml:space="preserve">Quelle: </w:t>
      </w:r>
      <w:r>
        <w:t>https://mcp.opencaselaw.ch/entscheid/bger_6B_621_2008</w:t>
      </w:r>
    </w:p>
    <w:p>
      <w:r>
        <w:t>FR: TF 6B 621/2008 du 27 septembre 2008</w:t>
      </w:r>
    </w:p>
    <w:p>
      <w:r>
        <w:t>IT: TF 6B 621/2008 del 27 settembre 2008</w:t>
      </w:r>
    </w:p>
    <w:p>
      <w:pPr>
        <w:pStyle w:val="Heading2"/>
      </w:pPr>
      <w:r>
        <w:t>Regeste</w:t>
      </w:r>
    </w:p>
    <w:p>
      <w:r>
        <w:t>Eröffnung einer Untersuchung gegen Behördenmitglieder und Beamte | Straftaten</w:t>
      </w:r>
    </w:p>
    <w:p>
      <w:pPr>
        <w:pStyle w:val="Heading2"/>
      </w:pPr>
      <w:r>
        <w:t>Erwägungen</w:t>
      </w:r>
    </w:p>
    <w:p>
      <w:r>
        <w:rPr>
          <w:b/>
        </w:rPr>
        <w:t>E. 1</w:t>
      </w:r>
    </w:p>
    <w:p>
      <w:r>
        <w:t>Im angefochtenen Entscheid trat die Vorinstanz auf den Rekurs des Beschwerdeführers nicht ein, weil das Rechtsmittel, soweit es sich gegen den Beschluss der Anklagekammer über die Eröffnung einer Strafuntersuchung gegen Behördenmitglieder und Beamte richtete, verspätet war. Soweit sich der Rekurs nicht gegen den erwähnten Beschluss der Anklagekammer richtete, trat die Vorinstanz mangels Zuständigkeit darauf nicht ein. Der Beschwerdeführer befasst sich vor Bundesgericht mit den Fragen der Fristwahrung im kantonalen Rekursverfahren und der Zuständigkeit der Vorinstanz nicht. Folglich genügt die Beschwerde den Begründungsanforderungen von Art. 42 Abs. 2 bzw. Art. 106 Abs. 2 BGG nicht. Darauf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