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6B_620/2019 vom 9. Juli 2019</w:t>
      </w:r>
    </w:p>
    <w:p>
      <w:r>
        <w:t>Bundesgericht, 2019-07-09, DE</w:t>
      </w:r>
    </w:p>
    <w:p>
      <w:r>
        <w:rPr>
          <w:b/>
        </w:rPr>
        <w:t xml:space="preserve">Quelle: </w:t>
      </w:r>
      <w:r>
        <w:t>https://mcp.opencaselaw.ch/entscheid/bger_6B_620_2019</w:t>
      </w:r>
    </w:p>
    <w:p>
      <w:r>
        <w:t>FR: TF 6B_620/2019 du 9 juillet 2019</w:t>
      </w:r>
    </w:p>
    <w:p>
      <w:r>
        <w:t>IT: TF 6B_620/2019 del 9 luglio 2019</w:t>
      </w:r>
    </w:p>
    <w:p>
      <w:pPr>
        <w:pStyle w:val="Heading2"/>
      </w:pPr>
      <w:r>
        <w:t>Erwägungen</w:t>
      </w:r>
    </w:p>
    <w:p>
      <w:r>
        <w:rPr>
          <w:b/>
        </w:rPr>
        <w:t>E. 1</w:t>
      </w:r>
    </w:p>
    <w:p>
      <w:r>
        <w:t>Der Beschwerdeführer erstattete am 14. September 2018 Strafanzeige gegen X.________ wegen Nötigung, Erpressung, Rassendiskriminierung und Missbrauch einer Fernmeldeanlage. Die Staatsanwaltschaft Winterthur/Unterland stellte das Verfahren am 11. Februar 2019 ein. Eine dagegen gerichtete Beschwerde wies das Obergericht des Kantons Zürich am 3. April 2019 ab.</w:t>
      </w:r>
    </w:p>
    <w:p>
      <w:r>
        <w:t>Der Beschwerdeführer wendet sich an das Bundesgericht. Er strebt eine Verurteilung von X.________ an.</w:t>
      </w:r>
    </w:p>
    <w:p>
      <w:r>
        <w:rPr>
          <w:b/>
        </w:rPr>
        <w:t>E. 2</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t>In einer Beschwerde ans Bundesgericht ist unter Bezugnahme auf den angefochtenen Entscheid darzulegen, inwieweit dieser nach Meinung des Beschwerdeführers gegen das Recht verstossen soll ( Art. 42 Abs. 2 BGG ).</w:t>
      </w:r>
    </w:p>
    <w:p>
      <w:r>
        <w:rPr>
          <w:b/>
        </w:rPr>
        <w:t>E. 3</w:t>
      </w:r>
    </w:p>
    <w:p>
      <w:r>
        <w:t>Die Beschwerde genügt diesen Begründungsanforderungen nicht. Der Beschwerdeführer äussert sich nicht zu seiner Beschwerdelegitimation und zur Frage einer Zivilforderung. Inwiefern ihm Schaden und Unbill unmittelbar im Zusammenhang mit dem angezeigten Deliktssachverhalt entstanden sein sollen, zeigt er nicht auf. Auch dem angefochtenen Entscheid kann insoweit nichts entnommen werden. Das von ihm verlangte Geld in Höhe von Fr. 12'000.-- für eine aus Sicht von X.________ noch offene Forderung aus Arbeitsvertrag hat der Beschwerdeführer nicht bezahlt, weshalb auch nicht ersichtlich ist, inwieweit ihm ein Zivilforderung gegen die Beschuldigte zustehen könnte. Zudem setzt er sich mit den Erwägungen im angefochtenen Beschluss nicht substanziiert auseinander und zeigt nicht auf, inwiefern diese willkürlich sein sollten oder sonstwie gegen das Recht im Sinne von Art. 95 BGG verstossen könnten. Er beschränkt sich vielmehr darauf, seine eigene Sicht der Dinge zu schildern. Von vornherein nicht zu hören ist er, soweit er sich inhaltlich gegen die Einstellungsverfügung und die Verfahrensführung der Staatsanwaltschaft wendet, ohne einen hinreichenden Bezug auf das vorinstanzliche Verfahrensdossier und den angefochtenen Beschluss herzustellen ( Art. 80 Abs. 1 BGG ). Soweit er beanstandet, es sei ihm zu Unrecht kein kostenloser Anwalt beigegeben worden, befasst er sich nicht mit der obergerichtlichen Einschätzung zur Aussichtslosigkeit seines Rechtsmittels und bringt nichts vor, was diese Einschätzung in Frage stellen könnte.</w:t>
      </w:r>
    </w:p>
    <w:p>
      <w:r>
        <w:rPr>
          <w:b/>
        </w:rPr>
        <w:t>E. 4</w:t>
      </w:r>
    </w:p>
    <w:p>
      <w:r>
        <w:t>Auf die Beschwerde ist im Verfahren nach Art. 108 BGG mangels Legitimation und einer tauglichen Begründung nicht einzutreten.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