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617/2018 vom 3. August 2018</w:t>
      </w:r>
    </w:p>
    <w:p>
      <w:r>
        <w:t>Bundesgericht, 2018-08-03, DE</w:t>
      </w:r>
    </w:p>
    <w:p>
      <w:r>
        <w:rPr>
          <w:b/>
        </w:rPr>
        <w:t xml:space="preserve">Quelle: </w:t>
      </w:r>
      <w:r>
        <w:t>https://mcp.opencaselaw.ch/entscheid/bger_6B_617_2018</w:t>
      </w:r>
    </w:p>
    <w:p>
      <w:r>
        <w:t>FR: TF 6B 617/2018 du 3 août 2018</w:t>
      </w:r>
    </w:p>
    <w:p>
      <w:r>
        <w:t>IT: TF 6B 617/2018 del 3 agosto 2018</w:t>
      </w:r>
    </w:p>
    <w:p>
      <w:pPr>
        <w:pStyle w:val="Heading2"/>
      </w:pPr>
      <w:r>
        <w:t>Regeste</w:t>
      </w:r>
    </w:p>
    <w:p>
      <w:r>
        <w:t>Beweiswürdigung (fahrlässiges Nichtgewähren des Vortritts); Nichteintreten | Straftaten</w:t>
      </w:r>
    </w:p>
    <w:p>
      <w:pPr>
        <w:pStyle w:val="Heading2"/>
      </w:pPr>
      <w:r>
        <w:t>Erwägungen</w:t>
      </w:r>
    </w:p>
    <w:p>
      <w:r>
        <w:rPr>
          <w:b/>
        </w:rPr>
        <w:t>E. 1</w:t>
      </w:r>
    </w:p>
    <w:p>
      <w:r>
        <w:t>Das Kantonsgericht Luzern sprach den Beschwerdeführer im Berufungsverfahren in Bestätigung des Urteils des Bezirksgerichts Hochdorf der Widerhandlung gegen das SVG (fahrlässiges Nichtgewähren des Vortrittsignals "kein Vortritt") schuldig. Gleichzeitig stellte es fest, dass die erstinstanzlichen Schuldsprüche wegen vorsätzlichen Nichttragens des Sicherheitsgurtes und des vorsätzlichen Fahrens ohne Licht tagsüber in Rechtskraft erwachsen sind. Es verurteilte den Beschwerdeführer zu einer Busse von Fr. 500.- respektive einer Ersatzfreiheitsstrafe von 5 Tagen im Falle schuldhafter Nichtbezahlung der Busse. Der Beschwerdeführer beantragt mit Beschwerde in Strafsachen, er sei vom Vorwurf des Nichtgewährens des Vortritts freizusprechen. Eventualiter sei die Sache zur Neubeurteilung an die Vorinstanz zurückzuweisen.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Beschwerde genügt, auch unter Berücksichtigung der Bitte des anwaltlich nicht vertretenen Beschwerdeführers, die "Laienhaftigkeit" seiner Beschwerde gebührend zu berücksichtigen, den gesetzlichen Begründungsanforderungen nicht. Der Beschwerdeführer setzt sich mit den Erwägungen der Vorinstanz und den von dieser lediglich auf Willkür zu prüfenden Sachverhaltsfeststellungen des Bezirksgerichts Hochdorf (vgl. Art. 398 Abs. 4 StPO ) nicht ansatzweise auseinander. Er beschränkt sich darauf zu schildern, wie die Ereignisse sich seiner Ansicht nach zugetragen haben sollen und verkennt, dass das Bundesgericht als oberste Recht sprechende Behörde ( Art. 1 Abs. 1 BGG ) grundsätzlich auf eine Rechtsüberprüfung des vorinstanzlichen Entscheids beschränkt ist. Es ist keine Appellationsinstanz, die eine freie Prüfung in tatsächlicher Hinsicht vornimmt, sondern legt seinem Urteil den Sachverhalt zugrunde, den die Vorinstanz festgestellt hat (vgl. Art. 105 Abs. 1 BGG ). Auf die appellatorische Kritik an der vorinstanzlichen Sachverhaltsfeststellung und Beweiswürdigung kann nicht eingetreten werden ( BGE 141 IV 317 E. 5.4 S. 324, 369 E. 6.3 S. 375; Urteil 6B_103/2017 vom 21. Juli 2017 E. 2.2; je mit Hinweisen).</w:t>
      </w:r>
    </w:p>
    <w:p>
      <w:r>
        <w:rPr>
          <w:b/>
        </w:rPr>
        <w:t>E. 4</w:t>
      </w:r>
    </w:p>
    <w:p>
      <w:r>
        <w:t>Auf die Beschwerde ist im Verfahren nach Art. 108 BGG nicht einzutreten.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