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616/2020 vom 3. Juni 2020</w:t>
      </w:r>
    </w:p>
    <w:p>
      <w:r>
        <w:t>Bundesgericht, 2020-06-03, DE</w:t>
      </w:r>
    </w:p>
    <w:p>
      <w:r>
        <w:rPr>
          <w:b/>
        </w:rPr>
        <w:t xml:space="preserve">Quelle: </w:t>
      </w:r>
      <w:r>
        <w:t>https://mcp.opencaselaw.ch/entscheid/bger_6B_616_2020</w:t>
      </w:r>
    </w:p>
    <w:p>
      <w:r>
        <w:t>FR: TF 6B 616/2020 du 3 juin 2020</w:t>
      </w:r>
    </w:p>
    <w:p>
      <w:r>
        <w:t>IT: TF 6B 616/2020 del 3 giugno 2020</w:t>
      </w:r>
    </w:p>
    <w:p>
      <w:pPr>
        <w:pStyle w:val="Heading2"/>
      </w:pPr>
      <w:r>
        <w:t>Regeste</w:t>
      </w:r>
    </w:p>
    <w:p>
      <w:r>
        <w:t>Zwangsmedikation (stationäre therapeutische Massnahme); Nichteintreten | Strafrecht (allgemein)</w:t>
      </w:r>
    </w:p>
    <w:p>
      <w:pPr>
        <w:pStyle w:val="Heading2"/>
      </w:pPr>
      <w:r>
        <w:t>Erwägungen</w:t>
      </w:r>
    </w:p>
    <w:p>
      <w:r>
        <w:rPr>
          <w:b/>
        </w:rPr>
        <w:t>E. 1</w:t>
      </w:r>
    </w:p>
    <w:p>
      <w:r>
        <w:t>Staatsanwaltschaft des Kantons Basel-Stadt,</w:t>
      </w:r>
    </w:p>
    <w:p>
      <w:r>
        <w:rPr>
          <w:b/>
        </w:rPr>
        <w:t>E. 2</w:t>
      </w:r>
    </w:p>
    <w:p>
      <w:r>
        <w:t>Die Beschwerde hat ein Rechtsbegehren und eine Begründung zu enthalten ( Art. 42 Abs. 1 BGG ), in welcher in gedrängter Form dargelegt werden muss, inwiefern der angefochtene Entscheid Recht verletzt ( Art. 42 Abs. 2 BGG ), was eine Auseinandersetzung mit der Begründung des angefochtenen Entscheides erfordert ( BGE 140 III 115 E. 2 S. 116).</w:t>
      </w:r>
    </w:p>
    <w:p>
      <w:r>
        <w:rPr>
          <w:b/>
        </w:rPr>
        <w:t>E. 3</w:t>
      </w:r>
    </w:p>
    <w:p>
      <w:r>
        <w:t>Die Beschwerde enthält kein Rechtsbegehren. Indes ist klar, dass der Beschwerdeführer keine Medikamente einnehmen und entsprechend die betreffende Anordnung aufgehoben haben möchte. Diesbezüglich fehlt indes jegliche Begründung. Das Appellationsgericht (als Verwaltungsgericht) hat sich jedoch im angefochtenen Entscheid unter Bezugnahme insbesondere auf die zugrunde liegende stationäre Massnahme, das erstellte Gutachten und die Legalprognose namentlich zur gesetzlichen Grundlage, Interessenabwägung, Notwendigkeit einer Behandlung sowie zur Verhältnismässigkeit geäussert. Darauf nimmt der Beschwerdeführer keinerlei Bezug. Eine Fristerstreckung zur Beschwerdebegründung fällt indessen ausser Betracht. Die Beschwerdefrist ist eine gesetzlich bestimmte Frist, die nicht erstreckt werden kann ( Art. 47 Abs. 1 BGG ). Inwiefern das Appellationsgericht (als Verwaltungsgericht) mit seinem Urteil gegen das Recht im Sinne von Art. 95 BGG verstossen haben könnte, ergibt sich aus der Beschwerde mithin nicht. Darauf ist im Verfahren nach Art. 108 BGG nicht einzutreten.</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