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6B_615/2019 vom 29. Mai 2019</w:t>
      </w:r>
    </w:p>
    <w:p>
      <w:r>
        <w:t>Bundesgericht, 2019-05-29, DE</w:t>
      </w:r>
    </w:p>
    <w:p>
      <w:r>
        <w:rPr>
          <w:b/>
        </w:rPr>
        <w:t xml:space="preserve">Quelle: </w:t>
      </w:r>
      <w:r>
        <w:t>https://mcp.opencaselaw.ch/entscheid/bger_6B_615_2019</w:t>
      </w:r>
    </w:p>
    <w:p>
      <w:r>
        <w:t>FR: TF 6B_615/2019 du 29 mai 2019</w:t>
      </w:r>
    </w:p>
    <w:p>
      <w:r>
        <w:t>IT: TF 6B_615/2019 del 29 maggio 2019</w:t>
      </w:r>
    </w:p>
    <w:p>
      <w:pPr>
        <w:pStyle w:val="Heading2"/>
      </w:pPr>
      <w:r>
        <w:t>Erwägungen</w:t>
      </w:r>
    </w:p>
    <w:p>
      <w:r>
        <w:rPr>
          <w:b/>
        </w:rPr>
        <w:t>E. 1</w:t>
      </w:r>
    </w:p>
    <w:p>
      <w:r>
        <w:t>Das Kantonsgericht Schwyz trat mit Verfügung vom 17. April 2019 auf eine Beschwerde aus formellen Gründen (Nichteinhaltung der Begründungsanforderungen, Verspätung) nicht ein.</w:t>
      </w:r>
    </w:p>
    <w:p>
      <w:r>
        <w:t>Der Beschwerdeführer wendet sich an das Bundesgericht.</w:t>
      </w:r>
    </w:p>
    <w:p>
      <w:r>
        <w:rPr>
          <w:b/>
        </w:rPr>
        <w:t>E. 2</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befasst sich vor Bundesgericht ausschliesslich mit der materiellen Seite der Angelegenheit, welche nicht Gegenstand des Verfahrens vor Vorinstanz bildete und mit welcher sich das Bundesgericht folglich nicht befassen kann. Zu den formellen Gründen, aus welchen die Vorinstanz auf das kantonale Rechtsmittel nicht eingetreten ist, äussert sich der Beschwerdeführer hingegen mit keinem Wort. Seine Beschwerde genügt den Begründungsanforderungen von Art. 42 Abs. 2 BGG nicht. Daraus ergibt sich nicht, inwiefern die Vorinstanz mit ihrer Nichteintretensverfügung geltendes Recht im Sinne von Art. 95 BGG verletzt haben könnte. Auf die Beschwerde ist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