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6B_613/2023 vom 5. Juni 2023</w:t>
      </w:r>
    </w:p>
    <w:p>
      <w:r>
        <w:t>Bundesgericht, 2023-06-05, FR</w:t>
      </w:r>
    </w:p>
    <w:p>
      <w:r>
        <w:rPr>
          <w:b/>
        </w:rPr>
        <w:t xml:space="preserve">Quelle: </w:t>
      </w:r>
      <w:r>
        <w:t>https://mcp.opencaselaw.ch/entscheid/bger_6B_613_2023</w:t>
      </w:r>
    </w:p>
    <w:p>
      <w:r>
        <w:t>FR: TF 6B_613/2023 du 5 juin 2023</w:t>
      </w:r>
    </w:p>
    <w:p>
      <w:r>
        <w:t>IT: TF 6B_613/2023 del 5 giugno 2023</w:t>
      </w:r>
    </w:p>
    <w:p>
      <w:pPr>
        <w:pStyle w:val="Heading2"/>
      </w:pPr>
      <w:r>
        <w:t>Erwägungen</w:t>
      </w:r>
    </w:p>
    <w:p>
      <w:r>
        <w:rPr>
          <w:b/>
        </w:rPr>
        <w:t>E. 1</w:t>
      </w:r>
    </w:p>
    <w:p>
      <w:r>
        <w:t>Par arrêt du 17 février 2023, la Chambre pénale d'appel et de révision de la Cour de justice de la République et canton de Genève a très partiellement admis l'appel formé par A.________ contre le jugement du Tribunal correctionnel genevois du 8 juin 2021. Il l'a reconnu coupable de viol, constaté une violation du principe de célérité, l'a condamné en conséquence à une peine privative de liberté de 3 ans, dont 18 mois fermes, le solde étant assorti du sursis avec délai d'épreuve de 5 ans, l'a condamné à payer à B.________ un montant de 18'000 fr., avec intérêts à 5 % l'an dès le 31 décembre 2015, à titre de réparation du tort moral et a statué sur les frais et indemnités.</w:t>
      </w:r>
    </w:p>
    <w:p>
      <w:r>
        <w:t>A.________ forme un recours au Tribunal fédéral contre l'arrêt précité.</w:t>
      </w:r>
    </w:p>
    <w:p>
      <w:r>
        <w:rPr>
          <w:b/>
        </w:rPr>
        <w:t>E. 2</w:t>
      </w:r>
    </w:p>
    <w:p>
      <w:r>
        <w:t>Dans la mesure où les pièces produites par le recourant ne figureraient pas déjà à la procédure, elles sont nouvelles, partant irrecevables ( art. 99 al. 1 LTF ).</w:t>
      </w:r>
    </w:p>
    <w:p>
      <w:r>
        <w:t>Quant à son écrit daté du 25 mai 2023, remis à la Poste le 30 mai 2023, et ses annexes, ils sont postérieurs à la fin du délai de recours qui est arrivé à échéance le 11 mai 2023, si bien qu'ils sont irrecevables.</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En particulier, la motivation doit se rapporter à l'objet du litige tel qu'il est circonscrit par la décision litigieuse ( ATF 133 IV 119 consid. 6.4 p. 121).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146 IV 88 consid. 1.3.1 p. 91 s.; 143 IV 500 consid. 1.1 p. 503). Les critiques de nature appellatoire sont irrecevables ( ATF 146 IV 88 consid. 1.3.1 p. 91 s.; 145 IV 154 consid. 1.1 p. 155 s.).</w:t>
      </w:r>
    </w:p>
    <w:p>
      <w:r>
        <w:t>En l'espèce, le recourant ne formule aucune conclusion. En outre, son argumentation consiste uniquement en une brève rediscussion des faits. Ce faisant, il ne fait qu'opposer sa propre version à celle de la cour cantonale, dans une démarche purement appellatoire. Il en va de même lorsque le recourant se fonde sur des faits non constatés dans l'arrêt attaqué, sans qu'il ne cherche à démontrer qu'ils auraient été arbitrairement omis. Les critiques du recourant ne répondent ainsi pas aux exigences de motivation accrues de l' art. 106 al. 2 LTF et sont, par conséquent, irrecevables. Pour le surplus, le recourant ne démontre pas en quoi la cour cantonale aurait violé le droit. Il ne présente ainsi aucun grief répondant aux exigences de motivation de l' art. 42 al. 2 LTF .</w:t>
      </w:r>
    </w:p>
    <w:p>
      <w:r>
        <w:rPr>
          <w:b/>
        </w:rPr>
        <w:t>E. 4</w:t>
      </w:r>
    </w:p>
    <w:p>
      <w:r>
        <w:t>Faute de satisfaire aux conditions de recevabilité d'un recours en matière pénale au Tribunal fédéral (art. 42 al. 1 et 2 et 106 al. 2 LTF), le recours doit être écarté en application de l' art. 108 al. 1 let. a et b LTF . Il était d'emblée dénué de chance de succès. L'assistance judiciaire doit être refusée pour ce motif ( art. 64 al. 1 et 2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