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6B_613/2014 vom 18. September 2014</w:t>
      </w:r>
    </w:p>
    <w:p>
      <w:r>
        <w:t>Bundesgericht, 2014-09-18, FR</w:t>
      </w:r>
    </w:p>
    <w:p>
      <w:r>
        <w:rPr>
          <w:b/>
        </w:rPr>
        <w:t xml:space="preserve">Quelle: </w:t>
      </w:r>
      <w:r>
        <w:t>https://mcp.opencaselaw.ch/entscheid/bger_6B_613_2014</w:t>
      </w:r>
    </w:p>
    <w:p>
      <w:r>
        <w:t>FR: TF 6B_613/2014 du 18 septembre 2014</w:t>
      </w:r>
    </w:p>
    <w:p>
      <w:r>
        <w:t>IT: TF 6B_613/2014 del 18 settembre 2014</w:t>
      </w:r>
    </w:p>
    <w:p>
      <w:pPr>
        <w:pStyle w:val="Heading2"/>
      </w:pPr>
      <w:r>
        <w:t>Erwägungen</w:t>
      </w:r>
    </w:p>
    <w:p>
      <w:r>
        <w:rPr>
          <w:b/>
        </w:rPr>
        <w:t>E. 1</w:t>
      </w:r>
    </w:p>
    <w:p>
      <w:r>
        <w:t>Après l'apparition, en décembre 2011, d'une odeur d'amandes amères dans l'immeuble sis rue E.________, à F.________, propriété de la société H.________ SA, et dont ils étaient locataires, A.________, B.________, C.________ et D.________ ont déposé plainte pénale contre inconnu. Les mesures effectuées après signalement du problème à la gérance de l'immeuble ont révélé la présence de grandes quantités (environ 10 tonnes) de produits hautement toxiques. Ensuite des premières investigations policières, le ministère public a, par ordonnance du 2 octobre 2013, refusé d'entrer en matière sur la plainte, au motif que les seuls manquements susceptibles d'être pénalement réprimés pouvaient être imputés à G.________, propriétaire de l'immeuble jusqu'au 2 février 2011, qui y avait déployé des activités professionnelles de galvanoplastie dès 1956 et était décédé le 16 juin 2011.</w:t>
      </w:r>
    </w:p>
    <w:p>
      <w:r>
        <w:rPr>
          <w:b/>
        </w:rPr>
        <w:t>E. 2</w:t>
      </w:r>
    </w:p>
    <w:p>
      <w:r>
        <w:t>Statuant sur le recours de A.________, B.________, C.________ et D.________, par arrêt du 19 mai 2014, l'Autorité de recours en matière pénale du Tribunal cantonal Neuchâtelois l'a rejeté.</w:t>
      </w:r>
    </w:p>
    <w:p>
      <w:r>
        <w:rPr>
          <w:b/>
        </w:rPr>
        <w:t>E. 3</w:t>
      </w:r>
    </w:p>
    <w:p>
      <w:r>
        <w:t>A.________, B.________, C.________ et D.________ recourent en matière pénale au Tribunal fédéral contre cette décision, concluant, en substance, à ce qu'il soit suivi à leur plainte.</w:t>
      </w:r>
    </w:p>
    <w:p>
      <w:r>
        <w:rPr>
          <w:b/>
        </w:rPr>
        <w:t>E. 4</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t>En l'espèce, les recourants se bornent à relever avoir pris part à la procédure cantonale et à affirmer un intérêt juridique à l'annulation de la décision querellée. Ils n'indiquent pas en quoi ils auraient été empêchés de formuler des conclusions civiles. De surcroît, bien qu'agissant conjointement et visant plusieurs personnes et entités, les recourants ne précisent pas en quoi consiste individuellement le dommage qu'ils ont chacun subi alors qu'ils sont tenus de le faire lorsque le recours émane de plusieurs parties plaignantes qui procèdent ensemble (arrêt 6B_936/2013 du 14 février 2014 consid. 1.2). Ils relèvent, tout au plus, que, pour l'heure, « une recourante semble avoir contracté des problèmes de santé qui pourraient éventuellement être mis en relation avec le stockage de produits chimiques » et qu'il a également été relevé « la présence d'arsenic dans les cheveux d'un recourant, même si cette substance ne semblait pas faire partie de l'inventaire des produits retrouvés » (mémoire de recours, p. 9). Ces vagues indications ne permettent pas de déduire lesquels des recourants pourraient faire valoir des prétentions civiles, à l'égard de qui et à concurrence de quel montant. La motivation du recours ne suffit manifestement pas à démontrer que les conditions susceptibles de fonder leur qualité pour recourir sont données. Il ne ressort pas non plus directement et sans ambiguïté de la nature de l'infraction alléguée quelles conclusions civiles pourraient être élevées par chacun des recourants contre les différentes personnes qu'elles visent dans leur recours. A cet égard, il convient de relever, en tant que les recourants s'en prennent à différents fonctionnaires et services du canton de Neuchâtel et de la ville de F.________, que la Loi neuchâteloise du 26 juin 1989 sur la responsabilité des collectivités publiques et de leurs agents (LResp/NE; RS/NE 150.10) institue une responsabilité de droit public de la collectivité (art. 5 LResp/NE) excluant toute action du lésé contre le fonctionnaire responsable (art. 9 LResp/NE), ce qui exclut toute conclusion civile. Par ailleurs, les recourants n'invoquent guère que la mise en danger de leur santé et de leur vie ( art. 127 CP ; exposition; art. 129 CP ). Or ces infractions de mise en danger ne supposent pas nécessairement une atteinte concrète à la vie ou à la santé. On ne peut donc en déduire directement et sans ambiguïté quelles prétentions pourraient être élevées. Enfin, les recourants mentionnent la Loi fédérale du 15 décembre 2000 sur la protection contre les substances et les préparations dangereuses (LChim; RS 813.1), mais ils ne précisent d'aucune manière quelles infractions pénales prévues par cette loi ( art. 49 et 50 LChim ) pourraient être reprochées à d'autres personnes que feu G.________ et des agents publics cantonaux et communaux (mémoire de recours, p. 8 s.). Les recourants n'évoquent pas l'hypothèse d'un tort moral. On peut se limiter à rappeler que l'allocation d'une telle indemnité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L'absence de toute explication sur ces différents points exclut la qualité pour agir des recourants en application de l'art. 81 al. 1 let. b ch. 5 LTF.</w:t>
      </w:r>
    </w:p>
    <w:p>
      <w:r>
        <w:rPr>
          <w:b/>
        </w:rPr>
        <w:t>E. 5</w:t>
      </w:r>
    </w:p>
    <w:p>
      <w:r>
        <w:t>Pour le surplus, les recourants n'invoquent aucune violation de leur droit de porter plainte et, quoi qu'il en soit, l'infraction d'exposition ( art. 127 CP ), celle visée par l' art. 129 CP ainsi que celles réprimées par les art. 49 ss LChim se poursuivent d'office, ce qui exclut toute contestation sur ce point au sens de l'art. 81 al. 1 let. b ch. 6 LTF. Enfin, ils n'affirment aucune violation de leurs droits de partie équivalant à un déni de justice formel (cf. ATF 138 IV 78 consid. 3.1 p. 79 s.). Ils ne démontrent donc pas avoir qualité pour recourir au Tribunal fédéral sous ces différents angles.</w:t>
      </w:r>
    </w:p>
    <w:p>
      <w:r>
        <w:rPr>
          <w:b/>
        </w:rPr>
        <w:t>E. 6</w:t>
      </w:r>
    </w:p>
    <w:p>
      <w:r>
        <w:t>Faute de qualité pour recourir, le recours doit être déclaré irrecevable et écarté en application de l' art. 108 al. 1 let. a LTF . Les recourants succombent. Ils supportent les frais de la procédure (art. 65 al. 2 et 66 al. 1 LTF), conjointement, à parts égales et solidairement ( art. 66 al. 5 LTF ).</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