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612/2017 vom 29. Mai 2017</w:t>
      </w:r>
    </w:p>
    <w:p>
      <w:r>
        <w:t>Bundesgericht, 2017-05-29, DE</w:t>
      </w:r>
    </w:p>
    <w:p>
      <w:r>
        <w:rPr>
          <w:b/>
        </w:rPr>
        <w:t xml:space="preserve">Quelle: </w:t>
      </w:r>
      <w:r>
        <w:t>https://mcp.opencaselaw.ch/entscheid/bger_6B_612_2017</w:t>
      </w:r>
    </w:p>
    <w:p>
      <w:r>
        <w:t>FR: TF 6B 612/2017 du 29 mai 2017</w:t>
      </w:r>
    </w:p>
    <w:p>
      <w:r>
        <w:t>IT: TF 6B 612/2017 del 29 maggio 2017</w:t>
      </w:r>
    </w:p>
    <w:p>
      <w:pPr>
        <w:pStyle w:val="Heading2"/>
      </w:pPr>
      <w:r>
        <w:t>Regeste</w:t>
      </w:r>
    </w:p>
    <w:p>
      <w:r>
        <w:t>Nichtanhandnahme, Nichteintreten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Eine Beschwerde in Strafsachen ist innert 30 Tagen nach der Eröffnung der vollständigen Ausfertigung des angefochtenen Entscheids beim Bundesgericht einzureichen ( Art. 100 Abs. 1 BGG ).</w:t>
      </w:r>
    </w:p>
    <w:p>
      <w:r>
        <w:rPr>
          <w:b/>
        </w:rPr>
        <w:t>E. 2</w:t>
      </w:r>
    </w:p>
    <w:p>
      <w:r>
        <w:t>Der vorinstanzliche Entscheid wurde am 16. März 2017 zugestellt. Die Beschwerdefrist begann folglich am 17. März 2017 zu laufen und endete unter Berücksichtigung von Art. 45 und Art. 46 Abs. 1 lit. a BGG am 2. Mai 2017. Die erst am 19. Mai 2017 der Post übergebene Beschwerde ist verspätet (vgl. Art. 48 Abs. 1 BGG ). Darauf ist nicht einzutreten.</w:t>
      </w:r>
    </w:p>
    <w:p>
      <w:r>
        <w:rPr>
          <w:b/>
        </w:rPr>
        <w:t>E. 3</w:t>
      </w:r>
    </w:p>
    <w:p>
      <w:r>
        <w:t>Ausnahmsweise kann auf eine Kostenauflage verzichtet werden.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