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611/2021 vom 28. Juni 2021</w:t>
      </w:r>
    </w:p>
    <w:p>
      <w:r>
        <w:t>Bundesgericht, 2021-06-28, DE</w:t>
      </w:r>
    </w:p>
    <w:p>
      <w:r>
        <w:rPr>
          <w:b/>
        </w:rPr>
        <w:t xml:space="preserve">Quelle: </w:t>
      </w:r>
      <w:r>
        <w:t>https://mcp.opencaselaw.ch/entscheid/bger_6B_611_2021</w:t>
      </w:r>
    </w:p>
    <w:p>
      <w:r>
        <w:t>FR: TF 6B 611/2021 du 28 juin 2021</w:t>
      </w:r>
    </w:p>
    <w:p>
      <w:r>
        <w:t>IT: TF 6B 611/2021 del 28 giugno 2021</w:t>
      </w:r>
    </w:p>
    <w:p>
      <w:pPr>
        <w:pStyle w:val="Heading2"/>
      </w:pPr>
      <w:r>
        <w:t>Regeste</w:t>
      </w:r>
    </w:p>
    <w:p>
      <w:r>
        <w:t>Einstellung (falsche Anschuldigung etc.); Nichteintreten | Strafprozess</w:t>
      </w:r>
    </w:p>
    <w:p>
      <w:pPr>
        <w:pStyle w:val="Heading2"/>
      </w:pPr>
      <w:r>
        <w:t>Erwägungen</w:t>
      </w:r>
    </w:p>
    <w:p>
      <w:r>
        <w:rPr>
          <w:b/>
        </w:rPr>
        <w:t>E. 1</w:t>
      </w:r>
    </w:p>
    <w:p>
      <w:r>
        <w:t>Die Staatsanwaltschaft des Kantons Zug stellte am 3. September 2021 die gegen den Beschwerdeführer angestrebte Strafuntersuchung wegen Sachentziehung, Veruntreuung und ungetreuer Geschäftsbesorgung ein. Gleichentags stellte sie auch die vom Beschwerdeführer mit Strafanzeige initiierten Strafuntersuchungen gegen die verantwortlichen Personen sowohl der B.________ AG als auch der C.________ AG wegen falscher Anschuldigung und Verleumdung ein. Die dagegen gerichteten Beschwerden wies das Obergericht des Kantons Zug in zwei separaten Urteilen vom 21. April 2021 ab. Mit Verfügungen gleichen Datums wies es auch die Gesuche um unentgeltliche Rechtspflege ab. Der Beschwerdeführer wendet sich mit zwei separaten Beschwerdeeingaben an das Bundesgericht.</w:t>
      </w:r>
    </w:p>
    <w:p>
      <w:r>
        <w:rPr>
          <w:b/>
        </w:rPr>
        <w:t>E. 2</w:t>
      </w:r>
    </w:p>
    <w:p>
      <w:r>
        <w:t>Die Verfahren 6B_611/2021 und 6B_612/2021 sind zu vereinigen.</w:t>
      </w:r>
    </w:p>
    <w:p>
      <w:r>
        <w:rPr>
          <w:b/>
        </w:rPr>
        <w:t>E. 3</w:t>
      </w:r>
    </w:p>
    <w:p>
      <w:r>
        <w:t>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4</w:t>
      </w:r>
    </w:p>
    <w:p>
      <w:r>
        <w:t>Der Beschwerdeführer äussert sich in seinen Beschwerden nicht zu seiner Legitimation als Privatkläger. Er legt nicht dar, dass und welche Zivilansprüche ihm gegen die verantwortlichen Personen der B.________ AG und/oder der C.________ AG zustehen und inwiefern sich die angefochtenen Urteile darauf auswirken könnten. Das ist auch nicht ohne Weiteres ersichtlich. Der Beschwerdeführer zeigt insbesondere nicht auf, dass und inwiefern ihm konkret ein Vermögensschaden unmittelbar aus dem angezeigten Deliktssachverhalt entstanden sein soll. Eine Genugtuung aus Persönlichkeitsverletzung ist sodann nur geschuldet, sofern die Schwere der Verletzung es rechtfertigt (vgl. Art. 49 Abs. 1 OR ). Der Eingriff muss aussergewöhnlich schwer sein und in seinen Auswirkungen das Mass einer Aufregung oder einer alltäglichen Sorge klar übersteigen (vgl. etwa Urteile 6B_96/2019 vom 7. Juni 2019 E. 1.2; 6B_798/2018 vom 14. November 2018 E. 4; 6B_555/2017 vom 29. September 2017 E. 3.2; je mit Hinweisen). Dass der Beschwerdeführer eine genugtuungsbegründende Persönlichkeitsverletzung erlitten hätte, ist ebenfalls weder dargetan noch angesichts des angezeigten Sachverhalts ersichtlich. In der Sache ist der Beschwerdeführer folglich nicht beschwerdelegitimiert.</w:t>
      </w:r>
    </w:p>
    <w:p>
      <w:r>
        <w:rPr>
          <w:b/>
        </w:rPr>
        <w:t>E. 5</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mit Hinweisen). Solche formellen Rügen erhebt der Beschwerdeführer nicht. Dieser rügt zwar eine Verletzung seines Anspruchs auf rechtliches Gehör, weil Untersuchungs- und Ermittlungshandlungen nicht aufgenommen, Beweisanträge abgewiesen und Noven nicht berücksichtigt worden seien (vgl. Beschwerde gegen das Urteil BS 2020 65, S. 3, 4 und 7 sowie Beschwerde gegen das Urteil BS 2020 66, S. 7). Die Kritik zielt indes, wie auch seine übrigen Vorbringen, auf die Rechtmässigkeit der Nichtanhandnahmen und damit auf eine Überprüfung in der Sache selbst ab, was unzulässig ist. Abgesehen davon genügten die Vorbringen auch den Begründungsanforderungen nicht ( Art. 106 Abs. 2 BGG ).</w:t>
      </w:r>
    </w:p>
    <w:p>
      <w:r>
        <w:rPr>
          <w:b/>
        </w:rPr>
        <w:t>E. 6</w:t>
      </w:r>
    </w:p>
    <w:p>
      <w:r>
        <w:t>Auf die Beschwerden ist im Verfahren nach Art. 108 BGG nicht einzutreten. Bei diesem Ausgang der Verfahren trägt der Beschwerdeführer die Gerichtskosten ( Art. 66 Abs. 1 BGG ). Eine Prozessentschädigung fällt ausser Betracht. Die Gesuche um unentgeltliche Rechtspflege sind infolge Aussichtslosigkeit abzuweisen ( Art. 64 Abs. 1 BGG ). Den finanziellen Verhältnissen des Beschwerdeführers ist bei der Kostenfestsetzung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