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6B_60/2021 vom 17. März 2021</w:t>
      </w:r>
    </w:p>
    <w:p>
      <w:r>
        <w:t>Bundesgericht, 2021-03-17, DE</w:t>
      </w:r>
    </w:p>
    <w:p>
      <w:r>
        <w:rPr>
          <w:b/>
        </w:rPr>
        <w:t xml:space="preserve">Quelle: </w:t>
      </w:r>
      <w:r>
        <w:t>https://mcp.opencaselaw.ch/entscheid/bger_6B_60_2021</w:t>
      </w:r>
    </w:p>
    <w:p>
      <w:r>
        <w:t>FR: TF 6B_60/2021 du 17 mars 2021</w:t>
      </w:r>
    </w:p>
    <w:p>
      <w:r>
        <w:t>IT: TF 6B_60/2021 del 17 marzo 2021</w:t>
      </w:r>
    </w:p>
    <w:p>
      <w:pPr>
        <w:pStyle w:val="Heading2"/>
      </w:pPr>
      <w:r>
        <w:t>Erwägungen</w:t>
      </w:r>
    </w:p>
    <w:p>
      <w:r>
        <w:rPr>
          <w:b/>
        </w:rPr>
        <w:t>E. 1</w:t>
      </w:r>
    </w:p>
    <w:p>
      <w:r>
        <w:t>Rechtsanwalt A.________ war unentgeltlicher Rechtsvertreter des Privatklägers B.________. Für seine Tätigkeit im Berufungsverfahren gewährte ihm das Obergericht des Kantons Zürich mit Urteil⁠ vom 12. November 2020 eine Entschädigung von pauschal Fr. 16'000.-- (vgl. angefochtenes Urteil S. 27 f., Urteilsdispositivziffer 7).</w:t>
      </w:r>
    </w:p>
    <w:p>
      <w:r>
        <w:rPr>
          <w:b/>
        </w:rPr>
        <w:t>E. 2</w:t>
      </w:r>
    </w:p>
    <w:p>
      <w:r>
        <w:t>Rechtsanwalt A.________ führt Beschwerde in Strafsachen beim Bundesgericht. Er beantragt, die unentgeltliche Rechtsvertretung für das Berufungsverfahren sei vom Obergericht des Kantons Zürich mit Fr. 20'321.25 zu entschädigen (vgl. Beschwerde S. 2 Rechtsbegehren 2d).</w:t>
      </w:r>
    </w:p>
    <w:p>
      <w:r>
        <w:rPr>
          <w:b/>
        </w:rPr>
        <w:t>E. 3</w:t>
      </w:r>
    </w:p>
    <w:p>
      <w:r>
        <w:t>Nach Art. 135 Abs. 3 lit. b StPO i.V.m. Art. 138 StPO ist der Entscheid der Berufungsinstanz betreffend die Entschädigung des unentgeltlichen Rechtsvertreters der Privatklägerschaft mittels Beschwerde beim Bundesstrafgericht anzufechten (vgl. BGE 140 IV 213 E. 1.5 und E. 1.7; Urteil 6B_647/2012 vom 10. Dezember 2012 E. 1). Auf die Beschwerde von Rechtsanwalt A.________ ist daher nicht einzutreten und die Sache ist zuständigkeitshalber an das Bundesstrafgericht zu überweisen ( Art. 30 Abs. 2 BGG ).</w:t>
      </w:r>
    </w:p>
    <w:p>
      <w:r>
        <w:rPr>
          <w:b/>
        </w:rPr>
        <w:t>E. 4</w:t>
      </w:r>
    </w:p>
    <w:p>
      <w:r>
        <w:t>Da der Rückzug von Beschwerden bedingungsfeindlich ist, hat der unter der Bedingung einer weiteren Nachfristgewährung erklärte Beschwerderückzug unbeachtlich zu bleiben, was indessen keinerlei Nachteile bewirkt, da auf eine Erhebung von Gerichtskosten umständehalber ausnahmsweise zu verzichten ist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