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60/2011 vom 27. Juni 2011</w:t>
      </w:r>
    </w:p>
    <w:p>
      <w:r>
        <w:t>Bundesgericht, 2011-06-27, DE</w:t>
      </w:r>
    </w:p>
    <w:p>
      <w:r>
        <w:rPr>
          <w:b/>
        </w:rPr>
        <w:t xml:space="preserve">Quelle: </w:t>
      </w:r>
      <w:r>
        <w:t>https://mcp.opencaselaw.ch/entscheid/bger_6B_60_2011</w:t>
      </w:r>
    </w:p>
    <w:p>
      <w:r>
        <w:t>FR: TF 6B 60/2011 du 27 juin 2011</w:t>
      </w:r>
    </w:p>
    <w:p>
      <w:r>
        <w:t>IT: TF 6B 60/2011 del 27 giugno 2011</w:t>
      </w:r>
    </w:p>
    <w:p>
      <w:pPr>
        <w:pStyle w:val="Heading2"/>
      </w:pPr>
      <w:r>
        <w:t>Regeste</w:t>
      </w:r>
    </w:p>
    <w:p>
      <w:r>
        <w:t>Versuchte schwere Körperverletzung | Straftaten</w:t>
      </w:r>
    </w:p>
    <w:p>
      <w:pPr>
        <w:pStyle w:val="Heading2"/>
      </w:pPr>
      <w:r>
        <w:t>Erwägungen</w:t>
      </w:r>
    </w:p>
    <w:p>
      <w:r>
        <w:rPr>
          <w:b/>
        </w:rPr>
        <w:t>E. 1.1</w:t>
      </w:r>
    </w:p>
    <w:p>
      <w:r>
        <w:t>Anfechtungsobjekt der Beschwerde an das Bundesgericht ist der letztinstanzliche kantonale Entscheid ( Art. 80 Abs. 1 BGG ). Auf die Vorbringen des Beschwerdeführers, die sich auf die Ermittlungen der Staatsanwaltschaft bzw. das erstinstanzliche Urteil beziehen (Beschwerde S. 6 ff.), ist nicht einzutreten.</w:t>
      </w:r>
    </w:p>
    <w:p>
      <w:r>
        <w:rPr>
          <w:b/>
        </w:rPr>
        <w:t>E. 1.2</w:t>
      </w:r>
    </w:p>
    <w:p>
      <w:r>
        <w:t>Soweit der Beschwerdeführer in allgemeiner Form auf seine Ausführungen vor der Vorinstanz verweist (Beschwerde S. 5), ist darauf ebenfalls nicht einzutreten. Ein Hinweis auf frühere Rechtsschriften oder auf die Verfahrensakten genügt den Begründungsanforderungen gemäss Art. 42 Abs. 2 bzw. Art. 106 Abs. 2 BGG nicht ( BGE 134 I 303 E. 1.3 S. 306; 133 II 396 E. 3.1 S. 399 f.; je mit Hinweisen).</w:t>
      </w:r>
    </w:p>
    <w:p>
      <w:r>
        <w:rPr>
          <w:b/>
        </w:rPr>
        <w:t>E. 2.1</w:t>
      </w:r>
    </w:p>
    <w:p>
      <w:r>
        <w:t>Der Beschwerdeführer sieht unter Hinweis auf Art. 32 Abs. 2 BV und Art. 6 Ziff. 1 i.V.m. Art. 6 Ziff. 3 lit. d EMRK sein Recht auf die Befragung von Belastungszeugen verletzt. Sofern die Aussagen von B.________ von ausschlaggebender Bedeutung seien, seien sie nicht verwertbar (Beschwerde S. 9 und S. 13).</w:t>
      </w:r>
    </w:p>
    <w:p>
      <w:r>
        <w:rPr>
          <w:b/>
        </w:rPr>
        <w:t>E. 2.2</w:t>
      </w:r>
    </w:p>
    <w:p>
      <w:r>
        <w:t>Der in Art. 6 Ziff. 3 lit. d EMRK garantierte Anspruch des Angeschuldigten, den Belastungszeugen Fragen zu stellen, ist ein besonderer Aspekt des Rechts auf ein faires Verfahren nach Art. 6 Ziff. 1 EMRK . Mit der Garantie soll ausgeschlossen werden, dass ein Strafurteil auf Aussagen von Zeugen abgestützt wird, ohne dass dem Angeschuldigten wenigstens einmal angemessene und hinreichende Gelegenheit gegeben wurde, das Zeugnis in Zweifel zu ziehen und Fragen an den Zeugen zu stellen. Der Beschuldigte muss namentlich in der Lage sein, die Glaubhaftigkeit einer Aussage zu prüfen und den Beweiswert in kontradiktorischer Weise auf die Probe und in Frage zu stellen. Dem Anspruch, den Belastungszeugen Fragen zu stellen, kommt insofern grundsätzlich absoluter Charakter zu. Nach der Rechtsprechung kann indes unter besonderen Umständen auf eine Konfrontation des Angeklagten mit dem Belastungszeugen oder auf die Einräumung der Gelegenheit zu ergänzender Befragung des Zeugen verzichtet werden. So etwa, wenn der Zeuge inzwischen verstorben ist oder trotz angemessener Nachforschungen unauffindbar blieb.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ausschlaggebende Bedeutung zukommt bzw. sie nicht den einzigen oder einen wesentlichen Beweis darstellt (Urteil 6B_10/2009 vom 6. Oktober 2009 E. 2.2.3 mit Hinweisen).</w:t>
      </w:r>
    </w:p>
    <w:p>
      <w:r>
        <w:rPr>
          <w:b/>
        </w:rPr>
        <w:t>E. 2.3</w:t>
      </w:r>
    </w:p>
    <w:p>
      <w:r>
        <w:t>Die Vorinstanz bezieht sich in ihrer Beweiswürdigung im angefochtenen Entscheid mehrfach auf die belastenden Aussagen von B.________ betreffend den Vorschlaghammer (S. 10 f. und S. 12 ff.). So erachtet sie es als entscheidend, dass A.________ sowie B.________ und C.________ den Beschwerdeführer übereinstimmend und glaubhaft damit belasteten, versucht zu haben, A.________ mit einem Vorschlaghammer zu schlagen. Weiter erwägt sie, die Angaben von A.________ und B.________ stünden denjenigen von Y.________, Z.________ und des Beschwerdeführers gegenüber. Demgemäss stützt die Vorinstanz das Beweisergebnis entgegen ihrer Auffassung massgebend sowohl auf die belastenden Aussagen des Zeugen C.________ als auch auf diejenigen von B.________. Der Beschwerdeführer hatte die Möglichkeit, Ersterem durch seinen Verteidiger an der Einvernahme vom 14. Dezember 2007 (Ordner X.________, act. 2/17) Fragen zu stellen. Mit B.________ fand keine Konfrontation statt. Der Beschwerdeführer konnte ihm auch keine ergänzenden Fragen stellen. Die Vorinstanz nennt keine Gründe, weshalb dies nicht möglich war bzw. ist. Unter diesen Umständen durfte sie die belastenden Aussagen von B.________ nicht verwerten. Zu Recht hält sie im Übrigen fest, dass auf das Protokoll der Konfrontationseinvernahme vom 6. Februar 2007 nicht abgestellt werden kann (angefochtenes Urteil S. 10, Ordner X.________, act. 2/16). Die Beschwerde erweist sich als begründet. Auf die übrigen Rügen des Beschwerdeführers - der willkürlichen Feststellung des Sachverhalts und der Verletzung des Grundsatzes "in dubio pro reo" - ist bei diesem Ausgang des Verfahrens nicht einzugehen.</w:t>
      </w:r>
    </w:p>
    <w:p>
      <w:r>
        <w:rPr>
          <w:b/>
        </w:rPr>
        <w:t>E. 3</w:t>
      </w:r>
    </w:p>
    <w:p>
      <w:r>
        <w:t>Die Beschwerde ist gutzuheissen, soweit darauf einzutreten ist. Die Dispositiv-Ziffern 2.2.3 (Schuldspruch wegen versuchter schwerer Körperverletzung) sowie 2.3 (Strafpunkt) des Urteils des Obergerichts des Kantons Zug vom 30. November 2010 sind aufzuheben, und die Sache ist zur neuen Entscheidung an die Vorinstanz zurückzuweisen. Bei diesem Ausgang des Verfahrens sind keine Kosten zu erheben ( Art. 66 Abs. 1 und 4 BGG ). Der Kanton Zug hat dem Beschwerdeführer dessen Parteikosten für das bundesgerichtliche Verfahren zu ersetzen ( Art. 68 Abs. 2 BGG ). Die Entschädigung ist dem Rechtsvertreter des Beschwerdeführers zuzusprechen. Das Gesuch des Beschwerdeführers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