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6B_609/2022 vom 9. August 2022</w:t>
      </w:r>
    </w:p>
    <w:p>
      <w:r>
        <w:t>Bundesgericht, 2022-08-09, FR</w:t>
      </w:r>
    </w:p>
    <w:p>
      <w:r>
        <w:rPr>
          <w:b/>
        </w:rPr>
        <w:t xml:space="preserve">Quelle: </w:t>
      </w:r>
      <w:r>
        <w:t>https://mcp.opencaselaw.ch/entscheid/bger_6B_609_2022</w:t>
      </w:r>
    </w:p>
    <w:p>
      <w:r>
        <w:t>FR: TF 6B_609/2022 du 9 août 2022</w:t>
      </w:r>
    </w:p>
    <w:p>
      <w:r>
        <w:t>IT: TF 6B_609/2022 del 9 agosto 2022</w:t>
      </w:r>
    </w:p>
    <w:p>
      <w:pPr>
        <w:pStyle w:val="Heading2"/>
      </w:pPr>
      <w:r>
        <w:t>Erwägungen</w:t>
      </w:r>
    </w:p>
    <w:p>
      <w:r>
        <w:rPr>
          <w:b/>
        </w:rPr>
        <w:t>E. 1</w:t>
      </w:r>
    </w:p>
    <w:p>
      <w:r>
        <w:t>Par acte du 11 mai 2022, A.________ recourt en matière pénale au Tribunal fédéral contre un arrêt du 28 mars 2022 par lequel la Chambre pénale du Tribunal cantonal fribourgeois a rejeté le recours interjeté par l'intéressé contre une ordonnance du 28 janvier 2022. Par cette dernière, le ministère public a refusé d'entrer en matière sur la plainte déposée par A.________ contre B.________ pour diffamation, atteinte à l'honneur et injure en relation avec les termes utilisés par celui-ci dans un courrier adressé à une commune. Le second y avait accusé le premier d'avoir, en tant que courtier, été malhonnête et d'avoir manqué de professionnalisme. Il avait en outre indiqué que la commune le tenait pour "responsable de cette vente frauduleuse" et qu'elle avait confirmé que "la justice ne peut pas intervenir dans cette situation". A.________ conclut avec suite de frais et dépens, à ce qu'il soit ordonné au ministère public, directement ou par le truchement de la cour cantonale, d'ouvrir une instruction pénale sur les infractions de diffamation et d'injure.</w:t>
      </w:r>
    </w:p>
    <w:p>
      <w:r>
        <w:rPr>
          <w:b/>
        </w:rPr>
        <w:t>E. 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w:t>
      </w:r>
    </w:p>
    <w:p>
      <w:r>
        <w:t>En l'espèce, le recourant invoque que le refus d'entrer en matière l'aurait empêché d'articuler des conclusions en réparation d'un tort moral.</w:t>
      </w:r>
    </w:p>
    <w:p>
      <w:r>
        <w:rPr>
          <w:b/>
        </w:rPr>
        <w:t>E. 4</w:t>
      </w:r>
    </w:p>
    <w:p>
      <w:r>
        <w:t>Selon la jurisprudence, en matière de délit contre l'honneur, il ne suffit pas d'invoquer une telle infraction pour que l'on puisse automatiquement en déduire l'existence d'un tort moral. N'importe quelle atteinte légère à la réputation professionnelle, économique ou sociale d'une personne ne justifie en effet pas une telle réparation, dont l'allocation suppose, au contraire, que l'atteinte présente une certaine gravité objective et qu'elle ait été ressentie par le lésé, subjectivement, comme une souffrance morale suffisamment forte pour qu'il apparaisse légitime qu'une personne, dans ces circonstances, s'adresse au juge pour obtenir réparation (arrêts 6B_17/2020 du 7 avril 2020 consid. 1.1; 6B_637/2019 du 8 août 2019 consid. 1.2). En l'espèce, hormis le fait que le recourant ne chiffre même pas approximativement ses prétentions, il ne dit mot de la gravité subjective de l'atteinte alléguée, cependant que les faits dénoncés, tels qu'ils sont restitués dans le décision querellée, n'apparaissent d'emblée pas particulièrement graves, considérés objectivement. Les développements du recourant ne suffisent manifestement pas à démontrer à satisfaction de droit sa qualité pour agir devant le Tribunal fédéral au regard de l'art. 81 al. 1 let. b ch. 5 LTF.</w:t>
      </w:r>
    </w:p>
    <w:p>
      <w:r>
        <w:rPr>
          <w:b/>
        </w:rPr>
        <w:t>E. 5</w:t>
      </w:r>
    </w:p>
    <w:p>
      <w:r>
        <w:t>Pour le surplus, le recourant n'aborde d'aucune manière son droit à la plainte (cf. art. 81 al. 1 let. a et b ch. 6 LTF), pas plus qu'il n'articule un quelconque moyen de procédure entièrement séparé du fond équivalant à un déni de justice formel (cf. ATF 141 IV 1 consid. 1.1 p. 5).</w:t>
      </w:r>
    </w:p>
    <w:p>
      <w:r>
        <w:rPr>
          <w:b/>
        </w:rPr>
        <w:t>E. 6</w:t>
      </w:r>
    </w:p>
    <w:p>
      <w:r>
        <w:t>Au vu de ce qui précède, le recourant ne démontre pas à satisfaction de droit avoir qualité pour recourir en matière pénale au Tribunal fédéral. Le recours est manifestement irrecevable, ce qu'il convient de constater dans la procédure prévue par l' art. 108 al. 1 let. a 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