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6B_609/2016 vom 27. Juli 2016</w:t>
      </w:r>
    </w:p>
    <w:p>
      <w:r>
        <w:t>Bundesgericht, 2016-07-27, DE</w:t>
      </w:r>
    </w:p>
    <w:p>
      <w:r>
        <w:rPr>
          <w:b/>
        </w:rPr>
        <w:t xml:space="preserve">Quelle: </w:t>
      </w:r>
      <w:r>
        <w:t>https://mcp.opencaselaw.ch/entscheid/bger_6B_609_2016</w:t>
      </w:r>
    </w:p>
    <w:p>
      <w:r>
        <w:t>FR: TF 6B_609/2016 du 27 juillet 2016</w:t>
      </w:r>
    </w:p>
    <w:p>
      <w:r>
        <w:t>IT: TF 6B_609/2016 del 27 luglio 2016</w:t>
      </w:r>
    </w:p>
    <w:p>
      <w:pPr>
        <w:pStyle w:val="Heading2"/>
      </w:pPr>
      <w:r>
        <w:t>Erwägungen</w:t>
      </w:r>
    </w:p>
    <w:p>
      <w:r>
        <w:rPr>
          <w:b/>
        </w:rPr>
        <w:t>E. 1</w:t>
      </w:r>
    </w:p>
    <w:p>
      <w:r>
        <w:t>Nachdem der Beschwerdeführer gegen ein im Dispositiv eröffnetes Urteil des Bezirksgerichts Höfe vom 29. Februar 2016 am 8. März 2016 fristgerecht Berufung angemeldet hatte, wurde ihm das begründete Urteil zugestellt. Da in der Folge die obligatorische Berufungserklärung beim Kantonsgericht Schwyz nicht einging, schrieb dieses die Berufung mit Verfügung vom 24. Mai 2016 als durch Verzicht auf Berufungserklärung erledigt ab.</w:t>
      </w:r>
    </w:p>
    <w:p>
      <w:r>
        <w:t>Der Beschwerdeführer wendet sich ans Bundesgericht und beantragt, die Entscheide vom 29. Februar 2016 und 24. Mai 2016 seien aufzuheben.</w:t>
      </w:r>
    </w:p>
    <w:p>
      <w:r>
        <w:rPr>
          <w:b/>
        </w:rPr>
        <w:t>E. 2</w:t>
      </w:r>
    </w:p>
    <w:p>
      <w:r>
        <w:t>Für die Entgegennahme von Anzeigen (vgl. Antrag 4) ist das Bundesgericht nicht zuständig.</w:t>
      </w:r>
    </w:p>
    <w:p>
      <w:r>
        <w:rPr>
          <w:b/>
        </w:rPr>
        <w:t>E. 3.1</w:t>
      </w:r>
    </w:p>
    <w:p>
      <w:r>
        <w:t>Der Beschwerdeführer macht geltend, er habe mit Schreiben vom 8. März 2016 nicht nur seine Berufung angemeldet, sondern auch erklärt und begründet. Eine zweite Berufungserklärung sei nicht notwendig gewesen.</w:t>
      </w:r>
    </w:p>
    <w:p>
      <w:r>
        <w:rPr>
          <w:b/>
        </w:rPr>
        <w:t>E. 3.2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Nach dieser ausdrücklichen gesetzlichen Regel müssen die zur Berufung legitimierten und mit dem erstinstanzlichen Urteil nicht einverstandenen Parteien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Nur wenn das Urteil weder mündlich noch schriftlich im Dispositiv eröffnet, sondern direkt in begründeter Form zugestellt wird, ist eine Anmeldung nicht nötig, sondern genügt eine Berufungserklärung ( BGE 138 IV 157 E. 2.1 und 2.2).</w:t>
      </w:r>
    </w:p>
    <w:p>
      <w:r>
        <w:t>Der Einwand des Beschwerdeführers, eine "zweite" Berufungserklärung vor der Vorinstanz sei nicht notwendig gewesen, da er die Berufung vor dem erstinstanzlichen Gericht nicht nur angemeldet, sondern auch erklärt und begründet habe, ist gemäss dem klaren gesetzlichen Wortlaut rechtlich unzutreffend. Aber er ist auch sachlich unzutreffend, führte der Beschwerdeführer in seiner Eingabe vom 8. März 2016 doch ausdrücklich aus, gegen das Urteil des Bezirksgerichts "melde ich hiermit die Berufung an" (S. 1). Im Übrigen wies ihn das Bezirksgericht sowohl im Urteilsdispositiv als auch im begründeten Urteil in einer ausführlichen Rechtsmittelbelehrung detailliert auf die Rechtslage hin. Da der Beschwerdeführer es offenbar unterliess, diese Belehrung sorgfältig zur Kenntnis zu nehmen, hat er sich die Folgen selber zuzuschreiben. Die Beschwerde ist im Verfahren nach Art. 109 BGG abzuweisen.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13)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