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608/2022 vom 13. Juni 2022</w:t>
      </w:r>
    </w:p>
    <w:p>
      <w:r>
        <w:t>Bundesgericht, 2022-06-13, DE</w:t>
      </w:r>
    </w:p>
    <w:p>
      <w:r>
        <w:rPr>
          <w:b/>
        </w:rPr>
        <w:t xml:space="preserve">Quelle: </w:t>
      </w:r>
      <w:r>
        <w:t>https://mcp.opencaselaw.ch/entscheid/bger_6B_608_2022</w:t>
      </w:r>
    </w:p>
    <w:p>
      <w:r>
        <w:t>FR: TF 6B 608/2022 du 13 juin 2022</w:t>
      </w:r>
    </w:p>
    <w:p>
      <w:r>
        <w:t>IT: TF 6B 608/2022 del 13 giugno 2022</w:t>
      </w:r>
    </w:p>
    <w:p>
      <w:pPr>
        <w:pStyle w:val="Heading2"/>
      </w:pPr>
      <w:r>
        <w:t>Regeste</w:t>
      </w:r>
    </w:p>
    <w:p>
      <w:r>
        <w:t>Nichtanhandnahme (Amtsmissbrauch), verspätete Beschwerde; Nichteintreten | Strafprozess</w:t>
      </w:r>
    </w:p>
    <w:p>
      <w:pPr>
        <w:pStyle w:val="Heading2"/>
      </w:pPr>
      <w:r>
        <w:t>Erwägungen</w:t>
      </w:r>
    </w:p>
    <w:p>
      <w:r>
        <w:rPr>
          <w:b/>
        </w:rPr>
        <w:t>E. 1</w:t>
      </w:r>
    </w:p>
    <w:p>
      <w:r>
        <w:t>Das Obergericht des Kantons Bern trat mit Beschluss vom 8. April 2022 auf eine Beschwerde gegen eine Nichtanhandnahmeverfügung der Staatsanwaltschaft Bern-Mittelland vom 4. März 2022 wegen Verspätung nicht ein. Der Beschwerdeführer wendet sich mit Beschwerde an das Bundesgericht.</w:t>
      </w:r>
    </w:p>
    <w:p>
      <w:r>
        <w:rPr>
          <w:b/>
        </w:rPr>
        <w:t>E. 2</w:t>
      </w:r>
    </w:p>
    <w:p>
      <w:r>
        <w:t>Anfechtungsobjekt ist alleine der letztinstanzliche kantonale Entscheid ( Art. 80 Abs. 1 BGG ). Nicht zu hören ist der Beschwerdeführer mit Ausführungen und Vorbringen, die ausserhalb des durch den angefochtenen Beschluss begrenzten Streitgegenstands liegen. Dies ist z.B. der Fall, soweit sich der Beschwerdeführer unter Hinweisen auf die Menschenrechtskonvention und die Bundesverfassung materiell zur angeblichen Straftat des von ihm Beschuldigten äussert.</w:t>
      </w:r>
    </w:p>
    <w:p>
      <w:r>
        <w:rPr>
          <w:b/>
        </w:rPr>
        <w:t>E. 3</w:t>
      </w:r>
    </w:p>
    <w:p>
      <w:r>
        <w:t>Gemäss Art. 42 Abs. 2 BGG ist in der Beschwerdebegründung in gedrängter Form unter Bezugnahme auf den angefochtenen Entscheid darzulegen, inwiefern dieser Recht verletzt.</w:t>
      </w:r>
    </w:p>
    <w:p>
      <w:r>
        <w:rPr>
          <w:b/>
        </w:rPr>
        <w:t>E. 4</w:t>
      </w:r>
    </w:p>
    <w:p>
      <w:r>
        <w:t>Vorliegend kann es nur um die Frage der Fristwahrung im kantonalen Beschwerdeverfahren und folglich darum gehen, ob die Vorinstanz zu Recht wegen Verspätung auf die Beschwerde nicht eingetreten ist. Mit den Erwägungen im angefochtenen Beschluss zur Zustellfiktion und zum Verpassen der Beschwerdefrist befasst sich der Beschwerdeführer vor Bundesgericht jedoch nicht. Stattdessen begnügt er sich damit, der staatsanwaltschaftlichen Nichtanhandnahmeverfügung Nichtigkeit zu unterstellen, und lapidar zu behaupten, diese Nichtigkeit könne nicht durch eine angeblich versäumte Frist entkräftet werden. Daraus ergibt sich jedoch nicht ansatzweise, inwiefern der angefochtene Beschluss gegen das Recht im Sinne von Art. 95 BGG verstossen könnte. Die Beschwerde genügt den gesetzlichen Begründungsanforderungen offensichtlich nicht. Darauf ist im Verfahren nach Art. 108 BGG nicht einzutreten.</w:t>
      </w:r>
    </w:p>
    <w:p>
      <w:r>
        <w:rPr>
          <w:b/>
        </w:rPr>
        <w:t>E. 5</w:t>
      </w:r>
    </w:p>
    <w:p>
      <w:r>
        <w:t>Ausgangsgemäss sind die Kosten dem Beschwerdeführer aufzuerlegen ( Art. 66 Abs. 1 BGG ). Das nachträglich gestellte sinngemässe Gesuch um unentgeltliche Rechtspflege ist wegen Aussichtslosigkeit abzuweisen. Dem Beschwerdeführer sind reduzierte Gerichtskosten aufzuerlegen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