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6B_608/2020 vom 4. Dezember 2020</w:t>
      </w:r>
    </w:p>
    <w:p>
      <w:r>
        <w:t>Bundesgericht, 2020-12-04, FR</w:t>
      </w:r>
    </w:p>
    <w:p>
      <w:r>
        <w:rPr>
          <w:b/>
        </w:rPr>
        <w:t xml:space="preserve">Quelle: </w:t>
      </w:r>
      <w:r>
        <w:t>https://mcp.opencaselaw.ch/entscheid/bger_6B_608_2020</w:t>
      </w:r>
    </w:p>
    <w:p>
      <w:r>
        <w:t>FR: TF 6B_608/2020 du 4 décembre 2020</w:t>
      </w:r>
    </w:p>
    <w:p>
      <w:r>
        <w:t>IT: TF 6B_608/2020 del 4 dicembre 2020</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L'arrêt querellé est un jugement final ( art. 90 LTF ) rendu dans une cause de droit pénal. Il est donc susceptible de faire l'objet d'un recours en matière pénale ( art. 78 ss LTF ), qui peut notamment être formé pour violation du droit fédéral, y compris des droits constitutionnels ( art. 95 let. a LTF ).</w:t>
      </w:r>
    </w:p>
    <w:p>
      <w:r>
        <w:rPr>
          <w:b/>
        </w:rPr>
        <w:t>E. 1.2</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et les références citées). La partie recourante est ainsi fondée à se plaindre d'une décision qui déclare irrecevable un recours cantonal pour défaut de qualité pour recourir (cf. parmi d'autres: arrêt 6B_243/2015 du 12 juin 2015 consid. 1). Tel est le cas en l'espèce, de sorte que le recours est recevable.</w:t>
      </w:r>
    </w:p>
    <w:p>
      <w:r>
        <w:rPr>
          <w:b/>
        </w:rPr>
        <w:t>E. 2</w:t>
      </w:r>
    </w:p>
    <w:p>
      <w:r>
        <w:t>Le recourant se plaint de la violation de son droit d'être entendu. Il fait grief à la cour cantonale d'avoir nié sa qualité pour recourir sans lui avoir donné l'opportunité de s'exprimer préalablement à ce sujet. Au regard de la motivation de l'ordonnance de non-entrée en matière, il pouvait partir du principe que le ministère public admettait sa qualité de lésé et ne pouvait s'attendre à ce que l'existence d'un préjudice direct soit remis en cause par la cour cantonale.</w:t>
      </w:r>
    </w:p>
    <w:p>
      <w:r>
        <w:rPr>
          <w:b/>
        </w:rPr>
        <w:t>E. 2.1</w:t>
      </w:r>
    </w:p>
    <w:p>
      <w:r>
        <w:t>Le droit d'être entendu, tel qu'il est garanti par l' art. 29 al. 2 Cst. , comprend notamment, pour le justiciable, le droit de s'exprimer sur les éléments pertinents avant qu'une décision soit prise touchant sa situation juridique ( ATF 144 I 11 consid. 5.3 p. 17; 143 V 71 consid. 4.1 p. 72; 142 II 218 consid. 2.3 p. 222; 140 I 285 consid. 6.3.1 p. 299).</w:t>
      </w:r>
    </w:p>
    <w:p>
      <w:r>
        <w:t>Le droit d'être entendu porte avant tout sur les questions de fait (arrêts 6B_735/2018 du 15 novembre 2018 consid. 2.1; 6B_1368/2016 du 15 novembre 2017 consid. 2.1 non publié aux ATF 143 IV 469 ). De manière générale, en vertu de la règle "iura novit curia", le juge n'a ainsi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(arrêt 6B_735/2018 précité consid. 2.1 et les références citées). Selon la jurisprudence, les parties doivent cependant être entendues sur les questions de droit lorsque l'autorité concernée entend se fonder sur des normes légales dont la prise en compte ne pouvait pas être raisonnablement prévue, et dont les parties ne pouvaient supputer la pertinence ( ATF 130 III 35 consid. 5 p. 39; 128 V 272 consid. 5b/bb p. 278; cf. ATF 144 II 246 consid. 12.3 p. 264 s; arrêt 6B_1418/2019 du 5 février 2020 consid. 2.1).</w:t>
      </w:r>
    </w:p>
    <w:p>
      <w:r>
        <w:rPr>
          <w:b/>
        </w:rPr>
        <w:t>E. 2.2</w:t>
      </w:r>
    </w:p>
    <w:p>
      <w:r>
        <w:t>L'infraction de gestion déloyale étant poursuivie d'office ( art. 158 CP ), le fait que le recourant ne revête pas la qualité de lésé et, partant, de partie plaignante, ne faisait pas obstacle à la poursuite (cf. art. 310 al. 1 let. b CPP et 30 al. 1 CP</w:t>
      </w:r>
    </w:p>
    <w:p>
      <w:r>
        <w:t>a contrario ). Il incombait ainsi au ministère public d'examiner le bien-fondé de l'infraction dénoncée, sans que cela ne signifie qu'il aurait préalablement reconnu la qualité de lésé du recourant. En qualifiant de surcroît le recourant de " dénonciateur ", le ministère public ne donnait aucunement lieu à croire qu'il le considérait comme lésé au sens de l' art. 115 CPP .</w:t>
      </w:r>
    </w:p>
    <w:p>
      <w:r>
        <w:t>Le recourant ne pouvait ignorer que son recours contre l'ordonnance de non-entrée en matière était soumis aux conditions de recevabilité fixées par le CPP, en particulier l' art. 382 al. 1 CPP qui régit la qualité pour recourir. Partant, il ne peut se déclarer surpris que la question de sa qualité pour recourir, qui suppose celle de lésé (cf. consid. 3.1 ci-dessous), ait été examinée par la cour cantonale. S'il avait des arguments à faire valoir à cet égard, il lui appartenait de le faire dans son recours. En définitive, la cour cantonale n'a nullement appliqué une disposition de droit inattendue justifiant une information préalable de l'intéressé. Il n'y a donc pas eu de violation du droit d'être entendu, de sorte que ce grief doit être rejeté.</w:t>
      </w:r>
    </w:p>
    <w:p>
      <w:r>
        <w:rPr>
          <w:b/>
        </w:rPr>
        <w:t>E. 3</w:t>
      </w:r>
    </w:p>
    <w:p>
      <w:r>
        <w:t>Dénonçant une violation des art. 115 et 382 CPP , le recourant prétend que c'est à tort que la cour cantonale lui a dénié la qualité pour recourir.</w:t>
      </w:r>
    </w:p>
    <w:p>
      <w:r>
        <w:rPr>
          <w:b/>
        </w:rPr>
        <w:t>E. 3.1</w:t>
      </w:r>
    </w:p>
    <w:p>
      <w:r>
        <w:t>Selon l' art. 382 al. 1 CPP , toute partie qui a un intérêt juridiquement protégé à l'annulation ou à la modification d'une décision a qualité pour recourir contre celle-ci. Tel est, en particulier, le cas du lésé qui s'est constitué demandeur au pénal, indépendamment d'éventuelles conclusions civiles ( ATF 139 IV 78 consid. 3 p. 80 ss).</w:t>
      </w:r>
    </w:p>
    <w:p>
      <w:r>
        <w:t>Aux termes de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enfreinte ( ATF 141 IV 1 consid. 3.1 p. 5 s.). Pour être directement touché, le lésé doit en outre subir une atteinte en rapport de causalité directe avec l'infraction poursuivie, ce qui exclut les dommages par ricochet (arrêts 6B_1050/2019 du 20 novembre 2019 consid. 1.2; 6B_868/2019 du 3 octobre 2019 consid. 3.2 et les références citées).</w:t>
      </w:r>
    </w:p>
    <w:p>
      <w:r>
        <w:t>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 ATF 141 IV 380 consid. 2.3.3 p. 386; 140 IV 155 consid. 3.3.1 p. 158; arrêts 6B_655/2019 du 12 juillet 2019 consid. 4.1; 6B_256/2018 du 13 août 2018 consid. 2.4.2).</w:t>
      </w:r>
    </w:p>
    <w:p>
      <w:r>
        <w:t>L' art. 158 CP vise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La peine est aggravée si l'auteur a agi dans le dessein de se procurer à lui-même ou à un tiers un enrichissement illégitime (ch. 1 al. 3). Cette infraction suppose la réalisation de quatre éléments constitutifs : il faut que l'auteur ait eu une position de gérant, qu'il ait violé une obligation lui incombant en cette qualité, qu'il en soit résulté un dommage et qu'il ait agi intentionnellement (cf. ATF 120 IV 190 consid. 2b p. 192).</w:t>
      </w:r>
    </w:p>
    <w:p>
      <w:r>
        <w:rPr>
          <w:b/>
        </w:rPr>
        <w:t>E. 3.2</w:t>
      </w:r>
    </w:p>
    <w:p>
      <w:r>
        <w:t>La cour cantonale a considéré que le recourant et B.________ ne disaient rien, notamment, du devoir de gestion que C.________ SA aurait eu à leur égard et que le préjudice dont ils se prévalaient ne pouvait ainsi être, au mieux et quoi qu'ils en disent, qu'indirect. Partant, ils ne disposaient pas de la qualité pour agir.</w:t>
      </w:r>
    </w:p>
    <w:p>
      <w:r>
        <w:rPr>
          <w:b/>
        </w:rPr>
        <w:t>E. 3.3</w:t>
      </w:r>
    </w:p>
    <w:p>
      <w:r>
        <w:t>Le recourant conteste cette appréciation. Il allègue que C.________ SA a «</w:t>
      </w:r>
    </w:p>
    <w:p>
      <w:r>
        <w:t>gravement violé son obligation de gérer au mieux les intérêts sous sa gestion, intérêts qui lui avaient été confiés par Monsieur A.________ à titre privé ». Il explique que C.________ SA, avec qui il entretenait une relation d'apporteur d'affaires, aurait dû s'assurer de la bonne santé financière de E.________ SA dans le cadre du processus d'accréditation de cette société comme entreprise générale. C.________ SA avait violé ses devoirs de diligence en ne s'apercevant pas de la situation obérée de E.________ SA et ainsi participé à l'aggravation du surendettement de cette société. En sa qualité de créancier de E.________ SA - car il avait également acquis une villa -, le recourant s'était vu délivrer un acte de défaut de biens. De surcroît, il avait participé au remboursement du dommage que la déconfiture de cette société avait causé à d'autres acquéreurs de villas dans le cadre des promotions immobilières. La négligence de C.________ SA avait ainsi provoqué une péjoration de sa situation de créancier dans la faillite de E.________ SA et une diminution de son patrimoine personnel du fait des indemnités versées aux propriétaires des villas en construction (recours, p. 13 à 17).</w:t>
      </w:r>
    </w:p>
    <w:p>
      <w:r>
        <w:t>Sur la base des explications qui précèdent, on ne voit pas quelle disposition visant à protéger les intérêts du recourant aurait été violée par C.________ SA. En effet, selon le recourant, les prétendus manquements de C.________ SA ont porté atteinte au patrimoine de E.________ SA, dont le surendettement aurait été moins important si la banque s'était aperçue plus tôt de sa situation obérée. Les créanciers de E.________ SA ont conséquemment subi un préjudice du fait de l'aggravation du surendettement de leur débiteur. Dans cette configuration, seule E.________ SA a subi un dommage direct, à l'exclusion de ses créanciers ou de toute autre personne qui avait un intérêt de fait à la bonne situation financière de cette société. Le recourant ne fait tout au plus valoir qu'un préjudice indirect, de sorte qu'il ne peut prétendre à la qualité de lésé.</w:t>
      </w:r>
    </w:p>
    <w:p>
      <w:r>
        <w:rPr>
          <w:b/>
        </w:rPr>
        <w:t>E. 3.4</w:t>
      </w:r>
    </w:p>
    <w:p>
      <w:r>
        <w:t>On relèvera encore que dans la partie de son recours consacrée à la critique de l'ordonnance de non-entrée en matière (argumentation irrecevable, cf. consid. 4 infra), le recourant affirme que «</w:t>
      </w:r>
    </w:p>
    <w:p>
      <w:r>
        <w:t>le Ministère public n'a aucunement tenu compte de la responsabilité que C.________ s'est expressément attribuée à l'égard des emprunteurs - de par la teneur des contrats de crédit conclus ainsi que de par les garanties fournies oralement - d'administrer, pour leur compte, les fonds versés en vue du paiement des factures relatives aux chantiers de U.________ et de V.________ » (recours, p. 21). Le reproche fait ici à C.________ SA diffère de ce que le recourant soutient à l'appui de la démonstration de sa qualité pour recourir, puisqu'il s'agirait non plus d'avoir omis de constater le surendettement de E.________ SA, mais d'avoir laissé celle-ci utiliser les fonds confiés par les acquéreurs à d'autres fins que celles prévues. Quoi qu'il en soit, cet allégué est appellatoire et, en tout état, insuffisant pour démontrer l'existence d'un devoir de gestion de la banque vis-à-vis du recourant dont la violation aurait entraîné un préjudice direct au précité.</w:t>
      </w:r>
    </w:p>
    <w:p>
      <w:r>
        <w:rPr>
          <w:b/>
        </w:rPr>
        <w:t>E. 3.5</w:t>
      </w:r>
    </w:p>
    <w:p>
      <w:r>
        <w:t>En définitive, la cour cantonale était fondée à constater qu'en l'absence de préjudice direct, le recourant ne pouvait se prévaloir d'un intérêt juridiquement protégé à l'annulation ou à la modification de la décision de classement concernant l'infraction de l' art. 158 CP et, partant, à déclarer irrecevable son recours à cet égard. Le grief doit être rejeté.</w:t>
      </w:r>
    </w:p>
    <w:p>
      <w:r>
        <w:rPr>
          <w:b/>
        </w:rPr>
        <w:t>E. 4</w:t>
      </w:r>
    </w:p>
    <w:p>
      <w:r>
        <w:t>Le recourant soutient que le refus d'entrée en matière viole les art. 110 al. 1 let. a [recte: 310 al. 1 let. a] CPP et 158 CP. Il affirme que les faits dénoncés dans sa plainte sont poursuivis d'office, de sorte qu'il convient de retenir, «</w:t>
      </w:r>
    </w:p>
    <w:p>
      <w:r>
        <w:t>indépendamment de la question de la qualité pour recourir », que le ministère public devait procéder à l'ouverture d'une instruction.</w:t>
      </w:r>
    </w:p>
    <w:p>
      <w:r>
        <w:t>Dans la mesure où il fait ainsi valoir que la cour cantonale aurait dû constater le caractère mal-fondé de l'ordonnance de non-entrée en matière, peu importe qu'il ait subi un préjudice direct ou non, le recourant méconnaît qu'il ne peut, sans être en mesure de revendiquer une qualité de lésé et de partie plaignante, porter le refus d'entrer en matière devant l'autorité de recours cantonale.</w:t>
      </w:r>
    </w:p>
    <w:p>
      <w:r>
        <w:t>Pour le reste, en tant qu'il critique, dans son recours en matière pénale, les motifs de la décision de non-entrée en matière, il sied de retenir que l'objet de la décision attaquée est circonscrit à l'irrecevabilité du recours, de sorte qu'il n'est pas admissible de discuter les motifs de la non-entrée en matière (cf. art. 80 al. 1 et 42 al. 2 LTF). Les conclusions qui en découlent (annuler l'ordonnance de non-entrée en matière et renvoyer la cause devant le ministère public pour l'ouverture d'une instruction) sont irrecevables.</w:t>
      </w:r>
    </w:p>
    <w:p>
      <w:r>
        <w:rPr>
          <w:b/>
        </w:rPr>
        <w:t>E. 5</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