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6B_607/2015 vom 24. Juni 2015</w:t>
      </w:r>
    </w:p>
    <w:p>
      <w:r>
        <w:t>Bundesgericht, 2015-06-24, DE</w:t>
      </w:r>
    </w:p>
    <w:p>
      <w:r>
        <w:rPr>
          <w:b/>
        </w:rPr>
        <w:t xml:space="preserve">Quelle: </w:t>
      </w:r>
      <w:r>
        <w:t>https://mcp.opencaselaw.ch/entscheid/bger_6B_607_2015</w:t>
      </w:r>
    </w:p>
    <w:p>
      <w:r>
        <w:t>FR: TF 6B_607/2015 du 24 juin 2015</w:t>
      </w:r>
    </w:p>
    <w:p>
      <w:r>
        <w:t>IT: TF 6B_607/2015 del 24 giugno 2015</w:t>
      </w:r>
    </w:p>
    <w:p>
      <w:pPr>
        <w:pStyle w:val="Heading2"/>
      </w:pPr>
      <w:r>
        <w:t>Erwägungen</w:t>
      </w:r>
    </w:p>
    <w:p>
      <w:r>
        <w:rPr>
          <w:b/>
        </w:rPr>
        <w:t>E. 1</w:t>
      </w:r>
    </w:p>
    <w:p>
      <w:r>
        <w:t>Der Beschwerdeführer klagte gegen eine Bank wegen Veruntreuung, Wuchers, ungetreuer Geschäftsbesorgung und Erpressung. Die Bank habe für die Verschiebung von Wertschriften aus bei ihr gehaltenen Depots in solche von Drittanbietern Gebühren berechnet, selbst wenn nie eine physische Verschiebung der Titel stattgefunden habe und obwohl die so erhobenen Spesen bereits durch die Kontoführungsgebühren abgegolten seien. Ausserdem sei dem Beschwerdeführer vorübergehend der Zugriff auf sein Wertschriftendepot verweigert worden.</w:t>
      </w:r>
    </w:p>
    <w:p>
      <w:r>
        <w:t>Die Staatsanwaltschaft des Kantons Aargau nahm das Verfahren am 28. Mai 2014 nicht an die Hand. Eine dagegen gerichtete Beschwerde wies das Obergericht des Kantons Aargau am 11. Mai 2015 ab.</w:t>
      </w:r>
    </w:p>
    <w:p>
      <w:r>
        <w:t>Der Beschwerdeführer wendet sich ans Bundesgericht und beantragt, das Obergericht des Kantons Aargau müsse dazu gebracht werden, die Nichtanhandnahmeverfügung der Staatsanwaltschaft aufzuheben und dadurch eine Strafuntersuchung gegen die Bank einzuleiten.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Der Beschwerdeführer äussert sich vor Bundesgericht zu seiner Legitimation und zu einer allfälligen Zivilforderung nicht. Dass er im kantonalen Verfahren eine solche geltend gemacht hätte, ergibt sich im Übrigen nicht aus dem angefochtenen Entscheid. Gestützt auf die Vorwürfe, die er gegen die Bank erhebt, ist auch nicht klarerweise ersichtlich, um welche Zivilforderung es gehen könnte. Auf die Beschwerde ist mangels Legitimation des Beschwerdeführers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