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6B_606/2012 vom 6. Februar 2013</w:t>
      </w:r>
    </w:p>
    <w:p>
      <w:r>
        <w:t>Bundesgericht, 2013-02-06, DE</w:t>
      </w:r>
    </w:p>
    <w:p>
      <w:r>
        <w:rPr>
          <w:b/>
        </w:rPr>
        <w:t xml:space="preserve">Quelle: </w:t>
      </w:r>
      <w:r>
        <w:t>https://mcp.opencaselaw.ch/entscheid/bger_6B_606_2012</w:t>
      </w:r>
    </w:p>
    <w:p>
      <w:r>
        <w:t>FR: TF 6B_606/2012 du 6 février 2013</w:t>
      </w:r>
    </w:p>
    <w:p>
      <w:r>
        <w:t>IT: TF 6B_606/2012 del 6 febbraio 2013</w:t>
      </w:r>
    </w:p>
    <w:p>
      <w:pPr>
        <w:pStyle w:val="Heading2"/>
      </w:pPr>
      <w:r>
        <w:t>Erwägungen</w:t>
      </w:r>
    </w:p>
    <w:p>
      <w:r>
        <w:rPr>
          <w:b/>
        </w:rPr>
        <w:t>E. 1.1</w:t>
      </w:r>
    </w:p>
    <w:p>
      <w:r>
        <w:t>Der Beschwerdeführer macht eine Verletzung des Anklagegrundsatzes geltend. Im Zusammenhang mit dem Vorwurf der versuchten Gewalt und Drohung gegen Behörden und Beamte bezeichne die Anklage nicht, zu welchen konkreten Amtshandlungen er mit welchen Briefen das Bezirksgericht Meilen zu nötigen versucht habe.</w:t>
      </w:r>
    </w:p>
    <w:p>
      <w:r>
        <w:rPr>
          <w:b/>
        </w:rPr>
        <w:t>E. 1.2</w:t>
      </w:r>
    </w:p>
    <w:p>
      <w:r>
        <w:t>Die Vorinstanz hält fest, dass die Anklage zunächst die dem Beschwerdeführer zum Vorwurf gemachten Schreiben mit den darin enthaltenen Drohungen im Einzelnen aufführe. Im Anschluss daran umschreibe sie aber auch, was der Beschwerdeführer mit seinen Drohbriefen beabsichtigt habe. Im Zusammenhang mit dem bevorstehenden Entscheid über das Sorge- und Besuchsrecht habe er Druck auf den zuständigen Richter ausüben und damit seinen im Scheidungsprozess gestellten Begehren Nachdruck verschaffen wollen. Damit bringe die Anklage in hinreichend konkretisierter Art zum Ausdruck, was dem Beschwerdeführer vorgeworfen wird.</w:t>
      </w:r>
    </w:p>
    <w:p>
      <w:r>
        <w:rPr>
          <w:b/>
        </w:rPr>
        <w:t>E. 1.3</w:t>
      </w:r>
    </w:p>
    <w:p>
      <w:r>
        <w:t>Nach Art. 9 Abs. 1 StPO kann eine Straftat nur gerichtlich beurteilt werden, wenn die Staatsanwaltschaft gegen eine bestimmte Person wegen eines genau umschriebenen Sachverhalts beim zuständigen Gericht Anklage erhoben hat. Der aus Art. 29 Abs. 2 und Art. 32 Abs. 2 BV sowie aus Art. 6 Ziff. 1 und Ziff. 3 lit. a und b EMRK abgeleitete Anklagegrundsatz verlangt, dass die Anklage einerseits die Person bestimmt, gegen die sich das Strafverfahren richtet und andererseits den Sachverhalt umreisst, der Gegenstand der gerichtlichen Beurteilung bildet (Umgrenzungsfunktion). Die Anklage hat die der beschuldigten Person zur Last gelegten Delikte in ihrem Sachverhalt so präzise zu umschreiben, dass die Vorwürfe genügend konkretisiert sind. Das Anklageprinzip bezweckt zugleich den Schutz der Verteidigungsrechte der beschuldigten Person (Informationsfunktion) und garantiert den Anspruch auf rechtliches Gehör ( BGE 126 I 19 E. 2a mit Hinweisen). Das Gericht ist an den in der Anklage wiedergegebenen Sachverhalt gebunden, nicht aber an dessen rechtliche Würdigung durch die Anklagebehörde (vgl. BGE 133 IV 235 E. 6.3 mit Hinweisen). Überspitzt formalistische Anforderungen dürfen an die Anklageschrift nicht gestellt werden (vgl. Urteil 6B_966/2009 vom 25. März 2010 E.3.3).</w:t>
      </w:r>
    </w:p>
    <w:p>
      <w:r>
        <w:t>Die Anklageschrift schildert den Sachverhalt hinreichend präzise, sodass die Vorwürfe in objektiver und subjektiver Hinsicht genügend konkretisiert sind. Sie bestimmt das Prozessthema und ermöglicht eine wirksame Verteidigung. Die dem Beschwerdeführer zur Last gelegten Schreiben werden in der Anklageschrift unter Angabe des Empfängers, des Datums, des wesentlichsten Inhalts und der Beilagen aufgeführt. Der Beschwerdeführer ist grundsätzlich geständig, diese Schreiben verfasst und zugestellt zu haben, sodass er nicht ernsthaft behaupten kann, er habe seine Verteidigungsrechte wegen fehlender Kenntnis der ihm vorgeworfenen Handlungen nicht hinreichend wahren können.</w:t>
      </w:r>
    </w:p>
    <w:p>
      <w:r>
        <w:rPr>
          <w:b/>
        </w:rPr>
        <w:t>E. 2.1</w:t>
      </w:r>
    </w:p>
    <w:p>
      <w:r>
        <w:t>Der Beschwerdeführer macht weiter geltend, dass er allenfalls indirekte Drohungen ausgesprochen, diese aber nicht auf eine bestimmte Amtshandlung bezogen habe.</w:t>
      </w:r>
    </w:p>
    <w:p>
      <w:r>
        <w:rPr>
          <w:b/>
        </w:rPr>
        <w:t>E. 2.2</w:t>
      </w:r>
    </w:p>
    <w:p>
      <w:r>
        <w:t>Die Vorinstanz erwägt, dass der Beschwerdeführer mit seinen Drohbriefen Druck auf den für das anhängige Scheidungsverfahren zuständigen Richter habe ausüben wollen. Damit habe er erreichen wollen, dass dieser seinen Anträgen bezüglich Sorge- und Besuchsrecht stattgebe. Die mit den Drohungen erfolgte Nötigung sei somit klar auf die vom Gerichtspräsidenten im Rahmen des Scheidungsprozesses vorzunehmenden Amtshandlungen ausgerichtet gewesen.</w:t>
      </w:r>
    </w:p>
    <w:p>
      <w:r>
        <w:rPr>
          <w:b/>
        </w:rPr>
        <w:t>E. 2.3</w:t>
      </w:r>
    </w:p>
    <w:p>
      <w:r>
        <w:t>Das vom Beschwerdeführer mit seinen nötigenden Handlungen angestrebte Ziel ist hinreichend konkretisiert. Entscheidend ist nicht, welche konkreten Anordnungen er mit seinen Drohbriefen bewirken wollte. Vielmehr muss es genügen, dass der Beschwerdeführer "Recht und Gerechtigkeit" schaffen (Beschwerde S. 5) und damit konkret Einfluss auf sein hängiges Scheidungsverfahren nehmen wollte. Bezeichnenderweise führte er denn auch anlässlich der psychiatrischen Begutachtung aus, mit den Drohbriefen habe sich alles geändert. Schnell habe er gemerkt, dass er nur auf diese Weise seine Anliegen und Wünsche zumindest teilweise habe umsetzen können (kantonale Akten, ER/HD act. 20/9).</w:t>
      </w:r>
    </w:p>
    <w:p>
      <w:r>
        <w:rPr>
          <w:b/>
        </w:rPr>
        <w:t>E. 3.1</w:t>
      </w:r>
    </w:p>
    <w:p>
      <w:r>
        <w:t>Schliesslich macht der Beschwerdeführer geltend, er habe sich in einer psychischen Ausnahmesituation befunden. Dadurch seien seine Handlungsoptionen in einer Weise beschränkt gewesen, welche sein Vorgehen jedenfalls zu entschuldigen vermöge. Mit dieser, bereits im Berufungsverfahren vorgebrachten, Argumentation habe sich die Vorinstanz nicht befasst.</w:t>
      </w:r>
    </w:p>
    <w:p>
      <w:r>
        <w:rPr>
          <w:b/>
        </w:rPr>
        <w:t>E. 3.2</w:t>
      </w:r>
    </w:p>
    <w:p>
      <w:r>
        <w:t>Entgegen der Darstellung des Beschwerdeführers hat sich die Vorinstanz mit der Frage der psychischen Ausnahmesituation unter dem Gesichtspunkt der Schuldfähigkeit intensiv auseinandergesetzt (Urteil S. 27-31). Sie gelangt gestützt auf das von ihr eingeholte Ergänzungsgutachten (kantonale Akten, act. 93/1) zum Schluss, dass es dem Beschwerdeführer jederzeit möglich war, das Unrecht seiner Taten einzusehen, jedoch seine Fähigkeit, gemäss dieser Einsicht zu handeln, aufgrund der schweren Persönlichkeitsstörung in geringem Grad eingeschränkt war.</w:t>
      </w:r>
    </w:p>
    <w:p>
      <w:r>
        <w:rPr>
          <w:b/>
        </w:rPr>
        <w:t>E. 3.3</w:t>
      </w:r>
    </w:p>
    <w:p>
      <w:r>
        <w:t>Der Beschwerdeführer bringt nichts vor, das geeignet wäre, die zutreffenden Ausführungen der Vorinstanz in Zweifel zu ziehen. Die von ihm aufgeworfene Frage der "Entschuldbarkeit" bildet in strafrechtsdogmatischer Hinsicht einen Bestandteil der Schuldfähigkeit, welche die Vorinstanz mit zutreffenden Erwägungen ausführlich gewürdigt hat.</w:t>
      </w:r>
    </w:p>
    <w:p>
      <w:r>
        <w:rPr>
          <w:b/>
        </w:rPr>
        <w:t>E. 4</w:t>
      </w:r>
    </w:p>
    <w:p>
      <w:r>
        <w:t>Die Beschwerde ist abzuweisen, soweit darauf eingetreten werden kann. Bei diesem Ausgang sind die bundesgerichtlichen Kosten dem Beschwerdeführer aufzuerlegen ( Art. 66 Abs. 1 BGG ). Sein Gesuch um Gewährung der unentgeltlichen Rechtspflege ist abzuweisen, da die Beschwerde von vornherein aussichtslos erschien.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