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604/2019 vom 2. Juli 2019</w:t>
      </w:r>
    </w:p>
    <w:p>
      <w:r>
        <w:t>Bundesgericht, 2019-07-02, DE</w:t>
      </w:r>
    </w:p>
    <w:p>
      <w:r>
        <w:rPr>
          <w:b/>
        </w:rPr>
        <w:t xml:space="preserve">Quelle: </w:t>
      </w:r>
      <w:r>
        <w:t>https://mcp.opencaselaw.ch/entscheid/bger_6B_604_2019</w:t>
      </w:r>
    </w:p>
    <w:p>
      <w:r>
        <w:t>FR: TF 6B 604/2019 du 2 juillet 2019</w:t>
      </w:r>
    </w:p>
    <w:p>
      <w:r>
        <w:t>IT: TF 6B 604/2019 del 2 luglio 2019</w:t>
      </w:r>
    </w:p>
    <w:p>
      <w:pPr>
        <w:pStyle w:val="Heading2"/>
      </w:pPr>
      <w:r>
        <w:t>Regeste</w:t>
      </w:r>
    </w:p>
    <w:p>
      <w:r>
        <w:t>Strafbefehl (Übertretung des Betäubungsmittelgesetzes); Fristwiederherstellung; Nichteintreten | Strafprozess</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wurden mit Verfügungen vom 28. Mai 2019 und 14. Juni 2019 eine Frist bis zum 12. Juni 2019 sowie die gesetzlich vorgeschriebene Nachfrist bis 25. Juni 2019 angesetzt, um dem Bundesgericht einen Kostenvorschuss von Fr. 800.-- einzuzahlen, unter Androhung, dass ansonsten auf das Rechtsmittel nicht eingetreten werde (vgl. Art. 62 Abs. 3 BGG ).</w:t>
      </w:r>
    </w:p>
    <w:p>
      <w:r>
        <w:rPr>
          <w:b/>
        </w:rPr>
        <w:t>E. 3</w:t>
      </w:r>
    </w:p>
    <w:p>
      <w:r>
        <w:t>Beide Verfügungen wurden mittels Gerichtsurkunde versandt und konnten zugestellt werden. Da der Kostenvorschuss auch innert Nachfrist nicht einging, ist auf die Beschwerde androhungsgemäss im Verfahren nach Art. 108 BGG nicht einzutreten. Mit dem vorliegenden Entscheid wird das Gesuch um aufschiebende Wirkung gegenstandslos.</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