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6B_603/2019 vom 28. November 2019</w:t>
      </w:r>
    </w:p>
    <w:p>
      <w:r>
        <w:t>Bundesgericht, 2019-11-28, DE</w:t>
      </w:r>
    </w:p>
    <w:p>
      <w:r>
        <w:rPr>
          <w:b/>
        </w:rPr>
        <w:t xml:space="preserve">Quelle: </w:t>
      </w:r>
      <w:r>
        <w:t>https://mcp.opencaselaw.ch/entscheid/bger_6B_603_2019</w:t>
      </w:r>
    </w:p>
    <w:p>
      <w:r>
        <w:t>FR: TF 6B_603/2019 du 28 novembre 2019</w:t>
      </w:r>
    </w:p>
    <w:p>
      <w:r>
        <w:t>IT: TF 6B_603/2019 del 28 novembre 2019</w:t>
      </w:r>
    </w:p>
    <w:p>
      <w:pPr>
        <w:pStyle w:val="Heading2"/>
      </w:pPr>
      <w:r>
        <w:t>Erwägungen</w:t>
      </w:r>
    </w:p>
    <w:p>
      <w:r>
        <w:rPr>
          <w:b/>
        </w:rPr>
        <w:t>E. 1.1</w:t>
      </w:r>
    </w:p>
    <w:p>
      <w:r>
        <w:t>Der Beschwerdeführer rügt eine Verletzung des Beschleunigungsgebotes. Das Verfahren habe bislang über 4 Jahre gedauert. Es sei nicht zu legitimieren, dass das erstinstanzliche Verfahren rund zwei Jahre gedauert habe. Zudem sei das am 14. Dezember 2018 gefällte Berufungsurteil erst am 5. April 2019 zugestellt worden, womit die Frist zur Urteilsbegründung gemäss Art. 84 Abs. 4 StPO nicht unwesentlich überschritten worden sei.</w:t>
      </w:r>
    </w:p>
    <w:p>
      <w:r>
        <w:rPr>
          <w:b/>
        </w:rPr>
        <w:t>E. 1.2</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w:t>
      </w:r>
    </w:p>
    <w:p>
      <w:r>
        <w:t>Der Beschwerdeführer beschränkt sich darauf, die Dauer des Verfahrens zu kritisieren, ohne im Einzelnen darzulegen, inwiefern dieses aufgrund der konkreten Umstände beförderlicher hätte behandelt werden können. Auf die Rüge ist mangels hinreichender Begründung ( Art. 42 Abs. 2 BGG ) nicht einzutreten. Soweit der Beschwerdeführer eine Verletzung von Art. 84 Abs. 4 StPO geltend macht, erweist sich diese als unbegründet. Bei den in Art. 84 Abs. 4 StPO geregelten Fristen handelt es sich um Ordnungsvorschriften, deren Missachtung nicht zwingend mit einer Verletzung des Beschleunigungsgebots einher geht (Urteil 6B_777/2017 vom 8. Februar 2018 E. 5.3 mit Hinweisen).</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w:t>
      </w:r>
    </w:p>
    <w:p>
      <w:r>
        <w:rPr>
          <w:b/>
        </w:rPr>
        <w:t>E. 2.2</w:t>
      </w:r>
    </w:p>
    <w:p>
      <w:r>
        <w:t>Der Beschwerdeführer bringt zusammengefasst vor, die Privatklägerin B.________ habe ein Motiv für eine Falschaussage und ihre Erklärungen zum Zeitpunkt ihrer "Flucht" aus der Wohnung sowie zu ihrem eigenen Drogenkonsum seien widersprüchlich. Sie instrumentalisiere die Strafbehörden, um sich seiner zu entledigen. Auch ihre Darstellung einer angeblichen Szene mit einem Messer würde über drei Einvernahmen hinweg variieren. So solle er sie - je nach Variante - aufgefordert haben, ihn zu erstechen, umzubringen oder ihm das Messer in die Brust zu stossen. Auch sei einmal von einem Mann die Rede, das nächste Mal von einem Menschen. Ausserdem habe sie erklärt, dass der Sex in C.________ hart gewesen sei. Der Beschwerdeführer macht schliesslich geltend, es sei weltfremd, dass B.________ am Morgen nach der angeblichen Vergewaltigung mit ihm einvernehmlichen Geschlechtsverkehr gehabt haben soll. Hinzu komme, dass es B.________ mit dem Gesetz nicht so genau nehme. Sie konsumiere Drogen, schmuggle und führe auch sonst kein rechtschaffenes Leben, mit Ausnahme ihrer Tätigkeit als Sexarbeiterin.</w:t>
      </w:r>
    </w:p>
    <w:p>
      <w:r>
        <w:t>Der Beschwerdeführer stellt die Glaubhaftigkeit der Aussagen von B.________ in Frage, ohne dabei darzulegen, dass und inwiefern die vorinstanzliche Sachverhaltsfeststellung willkürlich sein soll. Seine Vorbringen erschöpfen sich damit in unzulässiger, appellatorischer Kritik, worauf nicht einzutreten ist.</w:t>
      </w:r>
    </w:p>
    <w:p>
      <w:r>
        <w:rPr>
          <w:b/>
        </w:rPr>
        <w:t>E. 3</w:t>
      </w:r>
    </w:p>
    <w:p>
      <w:r>
        <w:t>Die Beschwerde ist abzuweisen, soweit darauf eingetreten werden kann. Der Beschwerdeführer trägt die Kosten des Verfahrens ( Art. 66 Abs. 1 BGG ).</w:t>
      </w:r>
    </w:p>
    <w:p>
      <w:r>
        <w:t>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