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6B_601/2021 vom 16. August 2022</w:t>
      </w:r>
    </w:p>
    <w:p>
      <w:r>
        <w:t>Bundesgericht, 2022-08-16, DE</w:t>
      </w:r>
    </w:p>
    <w:p>
      <w:r>
        <w:rPr>
          <w:b/>
        </w:rPr>
        <w:t xml:space="preserve">Quelle: </w:t>
      </w:r>
      <w:r>
        <w:t>https://mcp.opencaselaw.ch/entscheid/bger_6B_601_2021</w:t>
      </w:r>
    </w:p>
    <w:p>
      <w:r>
        <w:t>FR: TF 6B_601/2021 du 16 août 2022</w:t>
      </w:r>
    </w:p>
    <w:p>
      <w:r>
        <w:t>IT: TF 6B_601/2021 del 16 agosto 2022</w:t>
      </w:r>
    </w:p>
    <w:p>
      <w:pPr>
        <w:pStyle w:val="Heading2"/>
      </w:pPr>
      <w:r>
        <w:t>Erwägungen</w:t>
      </w:r>
    </w:p>
    <w:p>
      <w:r>
        <w:rPr>
          <w:b/>
        </w:rPr>
        <w:t>E. 1</w:t>
      </w:r>
    </w:p>
    <w:p>
      <w:r>
        <w:t>Streitig ist vorliegend die Höhe eines Genugtuungsanspruchs nach Art. 429 Abs. 1 lit. c StPO . Hiebei handelt es sich um eine spezielle Staatshaftungsnorm (vgl. WEHRENBERG/FRANK, in: Basler Kommentar, Schweizerische Strafprozessordnung, 2. Aufl. 2014, N. 6 zu Art. 429 StPO ). Da jedoch Art. 85 Abs. 1 lit. a BGG für die Beschwerde in Strafsachen nicht gilt und die übrigen Sachurteilsvoraussetzungen zu keinen Bemerkungen Anlass geben, ist auf die Beschwerde ungeachtet des geringen Streitwerts und unabhängig von der Frage, ob sich eine Rechtsfrage von grundsätzlicher Bedeutung stellt, einzutreten.</w:t>
      </w:r>
    </w:p>
    <w:p>
      <w:r>
        <w:rPr>
          <w:b/>
        </w:rPr>
        <w:t>E. 2.1</w:t>
      </w:r>
    </w:p>
    <w:p>
      <w:r>
        <w:t>Der Beschwerdeführer rügt zunächst, das Appellationsgericht habe bei der Bemessung der Genugtuungssumme zu Unrecht die Medienberichterstattung</w:t>
      </w:r>
    </w:p>
    <w:p>
      <w:r>
        <w:t>nach der Berufungsverhandlung ausgeklammert.</w:t>
      </w:r>
    </w:p>
    <w:p>
      <w:r>
        <w:rPr>
          <w:b/>
        </w:rPr>
        <w:t>E. 2.2</w:t>
      </w:r>
    </w:p>
    <w:p>
      <w:r>
        <w:t>Wird die beschuldigte Person ganz oder teilweise freigesprochen oder wird das Verfahren gegen sie eingestellt, so hat sie gemäss Art. 429 Abs. 1 lit. c StPO Anspruch auf Genugtuung für besonders schwere Verletzungen ihrer persönlichen Verhältnisse, insbesondere bei Freiheitsentzug. Die Strafbehörde prüft nach Art. 429 Abs. 2 StPO den Anspruch von Amtes wegen. Sie kann die beschuldigte Person auffordern, ihre Ansprüche zu beziffern und zu belegen.</w:t>
      </w:r>
    </w:p>
    <w:p>
      <w:r>
        <w:t>Wie das Bundesgericht in BGE 146 IV 231 E. 2.6.1 festgehalten hat, kann eine erhebliche Berichterstattung in den Medien eine Persönlichkeitsverletzung darstellen, welche geeignet ist, einen Genugtuungsanspruch nach Art. 429 Abs. 1 lit. c StPO auszulösen.</w:t>
      </w:r>
    </w:p>
    <w:p>
      <w:r>
        <w:rPr>
          <w:b/>
        </w:rPr>
        <w:t>E. 2.3</w:t>
      </w:r>
    </w:p>
    <w:p>
      <w:r>
        <w:t>Nach Art. 107 Abs. 1 BGG darf das Bundesgericht bei seinem Urteil nicht über die Begehren der Parteien hinausgehen. Heisst es die Beschwerde gut, so entscheidet es nach Art. 107 Abs. 2 BGG in der Sache selbst oder weist diese zu neuer Beurteilung an die Vorinstanz zurück.</w:t>
      </w:r>
    </w:p>
    <w:p>
      <w:r>
        <w:t>Im Falle eines bundesgerichtlichen Rückweisungsentscheids hat die mit der neuen Entscheidung befasste untere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unteren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135 III 334 E. 2; Urteile 6B_107/2021 vom 18. Mai 2022 E. 2.3.1; 6B_300/2021 vom 14. Juli 2021 E. 1 und 6B_318/2020 vom 13. April 2021 E. 1.2; je mit Hinweisen). Konsequenterweise muss im resp. in den an die Rückweisung anschliessenden Verfahren auch die Grenze der Parteibegehren im Sinne von Art. 107 Abs. 1 BGG berücksichtigt werden: Die Rückweisung soll nicht dazu führen, dass ein Beschwerdeführer besser gestellt wird, als wenn das Bundesgericht reformatorisch entschieden hätte (JOHANNA DORMANN, in: Basler Kommentar, Bundesgerichtsgesetz, 3. Aufl. 2018, N. 18 zu Art. 107 BGG ).</w:t>
      </w:r>
    </w:p>
    <w:p>
      <w:r>
        <w:rPr>
          <w:b/>
        </w:rPr>
        <w:t>E. 2.4</w:t>
      </w:r>
    </w:p>
    <w:p>
      <w:r>
        <w:t>Im Verfahren 6B_491/2020 beantragte der Beschwerdeführer eine Zusprechung einer Genugtuung von Fr. 500.-- (zuzüglich Zinsen) wegen einem ausgestandenen Freiheitsentzug von einem Tag, einer Verletzung des Beschleunigungsgebots und wegen der Medienberichterstattung im Zusammenhang mit dem erstinstanzlichen Entscheid. Das Bundesgericht hiess mit Urteil vom 13. Juli 2020 die Beschwerde gut und wies die Sache zum erneuten Entscheid über die Genugtuung an die Vorinstanz zurück. Demgemäss hatte die Vorinstanz im angefochtenen Entscheid einen entsprechenden Anspruch zu prüfen. In der Folge stellte sie einen Genugtuungsanspruch aufgrund des ausgestandenen Freiheitsentzugs und der Verletzung des Beschleunigungsgebots fest, verneinte aber einen solchen Anspruch aufgrund der Medienberichterstattung</w:t>
      </w:r>
    </w:p>
    <w:p>
      <w:r>
        <w:t>vor der Berufungsverhandlung, da diese den Beschwerdeführer nicht in einem besonderen Mass in der Persönlichkeit verletzt hat. Nicht Gegenstand des erneuten Entscheides bildete demgegenüber die Frage, ob aufgrund der weiteren,</w:t>
      </w:r>
    </w:p>
    <w:p>
      <w:r>
        <w:t>nach der Berufungsverhandlung erfolgten, Berichterstattung ebenfalls eine Genugtuung geschuldet ist, da das Verfahren u. a. durch die im ersten Berufungsverfahren gestellten Anträge limitiert war. Es verstösst daher nicht gegen Bundesrecht, dass die Vorinstanz es ablehnte, die entsprechenden Vorbringen des Beschwerdeführers im Rückweisungsverfahren materiell zu prüfen. In diesem Punkt ist seine Beschwerde somit abzuweisen.</w:t>
      </w:r>
    </w:p>
    <w:p>
      <w:r>
        <w:rPr>
          <w:b/>
        </w:rPr>
        <w:t>E. 3</w:t>
      </w:r>
    </w:p>
    <w:p>
      <w:r>
        <w:t>Gutzuheissen ist die Beschwerde demgegenüber, soweit der Beschwerdeführer rügt, die Vorinstanz habe sich zu Unrecht nicht zur Verzinsung der Genugtuung geäussert. Für die Art und den Umfang der Entschädigung nach Art. 429 ff. StPO dürfen nämlich die allgemeinen Bestimmungen der Art. 41 ff. OR herangezogen werden ( BGE 142 IV 245 E. 4.1 S. 248 mit Hinweis). Zum Schaden gehört nach konstanter Rechtsprechung der Zins vom Zeitpunkt an, in welchem das schädigende Ereignis sich ausgewirkt hat. Der Zins bildet Teil der Genugtuung. Dessen Höhe beträgt gemäss Art. 73 OR 5 % (Urteile 6B_632/2017 vom 22. Februar 2018 E. 2. 3 und 6B_1404/2016 vom 13. Juni 2017 E. 2.2 mit Hinweisen). Der Beschwerdeführer hat in allen Verfahrensstadien eine Verzinsung der zugesprochenen Genugtuung verlangt. Entsprechend ist der kantonale Entscheid, soweit er implizit und ohne Begründung einer Verzinsung der zugesprochenen Genugtuungssumme verneint, aufzuheben, und die Sache ist zu erneutem Entscheid in diesem Punkt an das Appellationsgericht zurückzuweisen.</w:t>
      </w:r>
    </w:p>
    <w:p>
      <w:r>
        <w:rPr>
          <w:b/>
        </w:rPr>
        <w:t>E. 4</w:t>
      </w:r>
    </w:p>
    <w:p>
      <w:r>
        <w:t>Obwohl der Beschwerdeführer nur teilweise obsiegt, rechtfertigt es sich, auf die Erhebung von Gerichtskosten gänzlich zu verzichten ( Art. 66 Abs. 1 Satz 2 BGG ). Der Kanton Basel-Stadt hat dem Vertreter des Beschwerdeführers zudem eine reduzierte Parteientschädigung auszurichten ( Art. 68 Abs. 1 und 2 BGG ).</w:t>
      </w:r>
    </w:p>
    <w:p>
      <w:r>
        <w:t>Soweit das Gesuch um unentgeltliche Rechtspflege durch diesen Kostenentscheid nicht gegenstandslos geworden ist, ist es abzuweisen, da die Beschwerde im Hauptpunkt im vornherein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