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6B_600/2011 vom 18. Oktober 2011</w:t>
      </w:r>
    </w:p>
    <w:p>
      <w:r>
        <w:t>Bundesgericht, 2011-10-18, FR</w:t>
      </w:r>
    </w:p>
    <w:p>
      <w:r>
        <w:rPr>
          <w:b/>
        </w:rPr>
        <w:t xml:space="preserve">Quelle: </w:t>
      </w:r>
      <w:r>
        <w:t>https://mcp.opencaselaw.ch/entscheid/bger_6B_600_2011</w:t>
      </w:r>
    </w:p>
    <w:p>
      <w:r>
        <w:t>FR: TF 6B_600/2011 du 18 octobre 2011</w:t>
      </w:r>
    </w:p>
    <w:p>
      <w:r>
        <w:t>IT: TF 6B_600/2011 del 18 ottobre 2011</w:t>
      </w:r>
    </w:p>
    <w:p>
      <w:pPr>
        <w:pStyle w:val="Heading2"/>
      </w:pPr>
      <w:r>
        <w:t>Erwägungen</w:t>
      </w:r>
    </w:p>
    <w:p>
      <w:r>
        <w:rPr>
          <w:b/>
        </w:rPr>
        <w:t>E. 1</w:t>
      </w:r>
    </w:p>
    <w:p>
      <w:r>
        <w:t>Le recourant se plaint d'arbitraire dans l'appréciation des preuves et de violation du principe in dubio pro reo.</w:t>
      </w:r>
    </w:p>
    <w:p>
      <w:r>
        <w:rPr>
          <w:b/>
        </w:rPr>
        <w:t>E. 1.1</w:t>
      </w:r>
    </w:p>
    <w:p>
      <w:r>
        <w:t>Le grief d'arbitraire et de violation du principe in dubio pro reo, tels qu'ils sont motivés en l'espèce, n'ont pas de portée distincte. A l'appui de l'un comme de l'autre, le recourant fait valoir que les faits retenus l'ont été ensuite d'une appréciation arbitraire des preuves.</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cf. ATF 135 V 2 consid. 1.3 p. 4 s.). Le Tribunal fédéral n'examine les moyens fondés sur la violation d'un droit constitutionnel que s'ils ont été invoqués et motivés de manière précise ( art. 106 al. 2 LTF ). Les critiques de nature appellatoire sont irrecevables ( ATF 133 III 393 consid. 6 p. 397).</w:t>
      </w:r>
    </w:p>
    <w:p>
      <w:r>
        <w:rPr>
          <w:b/>
        </w:rPr>
        <w:t>E. 1.2</w:t>
      </w:r>
    </w:p>
    <w:p>
      <w:r>
        <w:t>Le recourant met en avant qu'il a fait l'objet d'une autre procédure pénale en Espagne pour un trafic qui s'est déroulé quatre mois après les faits relatifs à la présente procédure. Il avait alors été arrêté avec des statuettes contenant de la cocaïne, dont le taux de pureté analysé était au maximum de 10,25 %. Invoquant que la drogue provenait du même fournisseur, le même taux doit selon lui être appliqué à la drogue trafiquée en Suisse. Il arrive ainsi à 8.61 grammes de drogue pure (84 x 10.25 : 100), ce qui exclut le cas grave. Il conteste l'appréciation par la cour cantonale des déclarations de son amie de l'époque et soutient que les faits retenus reposent sur des suppositions non probantes.</w:t>
      </w:r>
    </w:p>
    <w:p>
      <w:r>
        <w:t>De la sorte, le recourant se limite à substituer sa propre version des faits à celle retenue. Purement appellatoire, son argumentation est irrecevable. Supposée recevable, elle serait de toute façon infondée pour les motifs suivants.</w:t>
      </w:r>
    </w:p>
    <w:p>
      <w:r>
        <w:rPr>
          <w:b/>
        </w:rPr>
        <w:t>E. 1.3</w:t>
      </w:r>
    </w:p>
    <w:p>
      <w:r>
        <w:t>La cour cantonale a relevé que l'ex-amie du recourant s'était auto-incriminée, qu'elle avait qualifié d'élevée la qualité de la cocaïne trafiquée, que cette qualité était étayée par un billet retrouvé chez elle comportant une clé de répartition du bénéfice entre elle et le recourant, cette drogue devant leur rapporter 6'000 fr. au cours de l'époque, soit un montant impliquant une drogue de bonne qualité. Cette drogue devait en outre être écoulée dans des soirées branchées, où la clientèle exige une certaine qualité. La prise en compte des éléments précités n'a rien d'insoutenable, bien au contraire. Dans le cas d'espèce, contrairement à ce que laisse entendre le recourant, la crédibilité de son ex-amie ne saurait être mise à néant au motif qu'elle est toxicomane. Les déclarations de l'ex-amie permettaient déjà d'exclure sans arbitraire le faible taux de pureté invoqué par le recourant. La cour cantonale a encore précisé que le trafic en Espagne était postérieur de 4 mois à celui ici reproché, ce qui ne permettait pas d'envisager un même taux de pureté pour les deux trafics, d'autant moins que le rôle du recourant en Espagne était limité à celui de transporteur indifférent à la qualité du produit, alors que le recourant entendait trafiquer à son profit la drogue importée en Suisse et qu'il avait ainsi intérêt à se procurer un produit de qualité. Le raisonnement suivi est exempt d'arbitraire. Au vu des éléments mentionnés par la cour cantonale, il n'était pas manifestement insoutenable d'exclure le faible taux de pureté invoqué par le recourant et de retenir que la drogue trafiquée était de bonne qualité. Dans ces conditions et dès lors que la drogue n'était plus disponible pour une analyse, le taux de pureté pouvait être déterminé sur une base statistique en référence au degré de pureté habituel à l'époque du trafic (BERNARD CORBOZ, Les infractions en droit suisse, vol. II, 3ème éd., n. 86 ad art. 19 LStup ). Par conséquent, l'appréciation des preuves quant à la quantité de drogue pure trafiquée est exempte d'arbitraire.</w:t>
      </w:r>
    </w:p>
    <w:p>
      <w:r>
        <w:rPr>
          <w:b/>
        </w:rPr>
        <w:t>E. 2</w:t>
      </w:r>
    </w:p>
    <w:p>
      <w:r>
        <w:t>Les conclusions du recours étant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