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5/2023 vom 23. Januar 2023</w:t>
      </w:r>
    </w:p>
    <w:p>
      <w:r>
        <w:t>Bundesgericht, 2023-01-23, IT</w:t>
      </w:r>
    </w:p>
    <w:p>
      <w:r>
        <w:rPr>
          <w:b/>
        </w:rPr>
        <w:t xml:space="preserve">Quelle: </w:t>
      </w:r>
      <w:r>
        <w:t>https://mcp.opencaselaw.ch/entscheid/bger_6B_5_2023</w:t>
      </w:r>
    </w:p>
    <w:p>
      <w:r>
        <w:t>FR: TF 6B 5/2023 du 23 janvier 2023</w:t>
      </w:r>
    </w:p>
    <w:p>
      <w:r>
        <w:t>IT: TF 6B 5/2023 del 23 gennaio 2023</w:t>
      </w:r>
    </w:p>
    <w:p>
      <w:pPr>
        <w:pStyle w:val="Heading2"/>
      </w:pPr>
      <w:r>
        <w:t>Regeste</w:t>
      </w:r>
    </w:p>
    <w:p>
      <w:r>
        <w:t>Decreto di abbandono (diffamazione)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dei reclami penali del Tribunale d'appello del Cantone Ticino. Losanna, 23 gennaio 2023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