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59/2024 vom 5. Dezember 2024</w:t>
      </w:r>
    </w:p>
    <w:p>
      <w:r>
        <w:t>Bundesgericht, 2024-12-05, DE</w:t>
      </w:r>
    </w:p>
    <w:p>
      <w:r>
        <w:rPr>
          <w:b/>
        </w:rPr>
        <w:t xml:space="preserve">Quelle: </w:t>
      </w:r>
      <w:r>
        <w:t>https://mcp.opencaselaw.ch/entscheid/bger_6B_59_2024</w:t>
      </w:r>
    </w:p>
    <w:p>
      <w:r>
        <w:t>FR: TF 6B 59/2024 du 5 décembre 2024</w:t>
      </w:r>
    </w:p>
    <w:p>
      <w:r>
        <w:t>IT: TF 6B 59/2024 del 5 dicembre 2024</w:t>
      </w:r>
    </w:p>
    <w:p>
      <w:pPr>
        <w:pStyle w:val="Heading2"/>
      </w:pPr>
      <w:r>
        <w:t>Regeste</w:t>
      </w:r>
    </w:p>
    <w:p>
      <w:r>
        <w:t>Revisionsgesuch (mehrfache, teilweise versuchte Nötigung, Hausfriedensbruch) | Strafprozess</w:t>
      </w:r>
    </w:p>
    <w:p>
      <w:pPr>
        <w:pStyle w:val="Heading2"/>
      </w:pPr>
      <w:r>
        <w:t>Erwägungen</w:t>
      </w:r>
    </w:p>
    <w:p>
      <w:r>
        <w:rPr>
          <w:b/>
        </w:rPr>
        <w:t>E. 1.1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7B_726/2023 vom 19. Juni 2024 E. 2.2.1 mit Hinweisen). Revisionsrechtlich neu sind Tatsachen, wenn sie zum Zeitpunkt des früheren Urteils zwar bereits bestanden haben, die Strafbehörde zum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 7B_726/2023 vom 19. Juni 2024 E. 2.2.1; je mit Hinweisen). Möglich ist eine Änderung des früheren Urteils aber nur dann, wenn sie sicher, höchstwahrscheinlich oder wahrscheinlich ist ( BGE 120 IV 246 E. 2b; 116 IV 353 E. 5a; Urteil 6B_911/2023 vom 13. Februar 2024 E. 1.3.1; je mit Hinweisen). Das Rechtsmittel der Revision dient nicht dazu, rechtskräftige Entscheide jederzeit infrage zu stellen oder frühere prozessuale Versäumnisse zu beheben ( BGE 145 IV 197 E. 1.1; 130 IV 72 E. 2.2; Urteil 6B_911/2023 vom 13. Februar 2024 E. 1.3.1;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das auf Einsprache hin eingeleitet worden wäre. Demgegenüber kann die Revision eines Strafbefehls in Betracht kommen wegen wichtiger Tatsachen oder Beweismittel, die die verurteilte Person zum Zeitpunkt, als der Strafbefehl erging, nicht kannte oder die schon damals geltend zu machen für ihn unmöglich waren oder keine Veranlassung bestand. Rechtsmissbrauch ist nur mit Zurückhaltung anzunehmen. Es ist in jedem Einzelfall zu prüfen, ob unter den gegebenen Umständen das Revisionsgesuch dazu dient, den ordentlichen Rechtsweg zu umgehen ( BGE 145 IV 197 E. 1.1; Urteil 6B_544/2023 vom 19. Juni 2023 E. 1.1 mit Hinweis).</w:t>
      </w:r>
    </w:p>
    <w:p>
      <w:r>
        <w:rPr>
          <w:b/>
        </w:rPr>
        <w:t>E. 1.2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 6B_593/2023 vom 26. Februar 2024 E. 2.4; je mit Hinweisen).</w:t>
      </w:r>
    </w:p>
    <w:p>
      <w:r>
        <w:rPr>
          <w:b/>
        </w:rPr>
        <w:t>E. 1.3</w:t>
      </w:r>
    </w:p>
    <w:p>
      <w:r>
        <w:t>Fehlerhafte Entscheide sind erst dann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149 IV 9 E. 6.1; 148 IV 445 E. 1.4.2; je mit Hinweisen).</w:t>
      </w:r>
    </w:p>
    <w:p>
      <w:r>
        <w:rPr>
          <w:b/>
        </w:rPr>
        <w:t>E. 1.4</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2.1</w:t>
      </w:r>
    </w:p>
    <w:p>
      <w:r>
        <w:t>Der Beschwerdeführer bringt vor, der Strafantrag sei mangels Vertretungsbefugnis der den Strafantrag unterzeichnenden Person nicht rechtsgültig und der B.________ AG sei trotz fehlender Parteistellung eine Entschädigung zugesprochen worden, weswegen das Urteil vom 6. Juni 2023 nichtig sei. Die Vorinstanz hat zu Recht erwogen, dass es sich bei den Vorbringen des Beschwerdeführers nicht um Nichtigkeitsgründe handelt. Im Übrigen sind darin auch keine Revisionsgründe zu erkennen, weswegen nicht weiter darauf einzugehen ist, inwiefern es sich bei seinen Vorbringen überhaupt um Tat- oder um der Revision nicht zugängliche Rechtsfragen handelt.</w:t>
      </w:r>
    </w:p>
    <w:p>
      <w:r>
        <w:rPr>
          <w:b/>
        </w:rPr>
        <w:t>E. 2.2</w:t>
      </w:r>
    </w:p>
    <w:p>
      <w:r>
        <w:t>Ferner macht der Beschwerdeführer die Verletzung von Ausstandsvorschriften geltend. Ausstandsgründe sind ohne Verzug geltend zu machen (vgl. Art. 58 Abs. 1 StPO ). Nach der bundesgerichtlichen Rechtsprechung gilt in der Regel ein sechs bis sieben Tage nach Kenntnis des Ausstandsgrundes gestelltes Gesuch noch als rechtzeitig gestellt; ein zwei- bis dreiwöchiges Zuwarten ist dagegen bereits verspätet (Urteil 7B_780/2024 vom 18. Oktober 2024 E. 5.3.5 mit Hinweisen). Vorliegend hatte der Beschwerdeführer vom geltend gemachten Ausstandsgrund nach den unangefochten gebliebenen Sachverhaltsfeststellungen der Vorinstanz bereits am 16. März 2023 und damit vor dem vorinstanzlichen Beschluss Kenntnis. Es handelt sich demnach bereits deswegen nicht um einen nachträglich entdeckten Ausstandsgrund, der eine Revision rechtfertigen würde (vgl. Art. 60 Abs. 3 StPO ; BGE 146 IV 185 E. 6.5; Urteil 7B_518/2024 vom 24. Oktober 2024 E. 6.4.1). Entgegen den Vorbringen des Beschwerdeführers ist nicht zu beanstanden, dass die Vorinstanz das Ausstandsgesuch als offensichtlich unzulässig erachtete.</w:t>
      </w:r>
    </w:p>
    <w:p>
      <w:r>
        <w:rPr>
          <w:b/>
        </w:rPr>
        <w:t>E. 2.3</w:t>
      </w:r>
    </w:p>
    <w:p>
      <w:r>
        <w:t>Schliesslich erwägt die Vorinstanz hinsichtlich der vom Beschwerdeführer im Revisionsverfahren als neues Beweismittel vorgebrachten Nichtanhandnahmeverfügung vom 27. März 2017, dass diese an den Beschwerdeführer gerichtet gewesen sei. Der Vorinstanz ist zu folgen, wenn sie festhält, es sei nicht ersichtlich, weswegen der Beschwerdeführer diese nicht bereits im Strafverfahren eingereicht habe. Der Beschwerdeführer legt nicht dar und es ist nicht ersichtlich, dass ihm die genannte Verfügung nicht bereits im ordentlichen Rechtsmittelverfahren bekannt gewesen war resp. bei gebührender Sorgfalt hätte bekannt sein müssen. Zu dem vom Beschwerdeführer vorgebrachten Polizeirapport vom 30. Januar 2017 erwägt die Vorinstanz, der Beschwerdeführer habe diesbezüglich bereits im Untersuchungsverfahren Anträge gestellt und er habe die Einholung von Berichten und Zeugeneinvernahmen ohne Weiteres im abgeschlossenen Verfahren erneut beantragen können. Der Vorinstanz ist zu folgen, wenn sie erwägt, dass das Vorbringen des Beschwerdeführers auf eine Kritik an der Ablehnung der Beweisanträge und der Beweiswürdigung abzielt, gegen die sich der Beschwerdeführer im ordentlichen Verfahren wenden konnte. Das Revisionsverfahren dient nicht dazu, den in Rechtskraft erwachsenen Entscheid jederzeit in Frage zu stellen oder prozessuale Versäumnisse zu beheben. Indem die Vorinstanz gestützt auf Art. 412 Abs. 2 StPO auf das Revisionsgesuch nicht eintritt, verletzt sie kein Bundesrecht. Auf die weiteren vom Beschwerdeführer pauschal geltend gemachten Rechtsverletzungen ist mangels Erfüllung der (erhöhten) Begründungsanforderungen nicht einzugehen.</w:t>
      </w:r>
    </w:p>
    <w:p>
      <w:r>
        <w:rPr>
          <w:b/>
        </w:rPr>
        <w:t>E. 3</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