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599/2011 vom 16. März 2012</w:t>
      </w:r>
    </w:p>
    <w:p>
      <w:r>
        <w:t>Bundesgericht, 2012-03-16, FR</w:t>
      </w:r>
    </w:p>
    <w:p>
      <w:r>
        <w:rPr>
          <w:b/>
        </w:rPr>
        <w:t xml:space="preserve">Quelle: </w:t>
      </w:r>
      <w:r>
        <w:t>https://mcp.opencaselaw.ch/entscheid/bger_6B_599_2011</w:t>
      </w:r>
    </w:p>
    <w:p>
      <w:r>
        <w:t>FR: TF 6B 599/2011 du 16 mars 2012</w:t>
      </w:r>
    </w:p>
    <w:p>
      <w:r>
        <w:t>IT: TF 6B 599/2011 del 16 marzo 2012</w:t>
      </w:r>
    </w:p>
    <w:p>
      <w:pPr>
        <w:pStyle w:val="Heading2"/>
      </w:pPr>
      <w:r>
        <w:t>Regeste</w:t>
      </w:r>
    </w:p>
    <w:p>
      <w:r>
        <w:t>Tentative d'escroquerie | Infractions</w:t>
      </w:r>
    </w:p>
    <w:p>
      <w:pPr>
        <w:pStyle w:val="Heading2"/>
      </w:pPr>
      <w:r>
        <w:t>Erwägungen</w:t>
      </w:r>
    </w:p>
    <w:p>
      <w:r>
        <w:rPr>
          <w:b/>
        </w:rPr>
        <w:t>E. 1</w:t>
      </w:r>
    </w:p>
    <w:p>
      <w:r>
        <w:t>Invoquant le principe in dubio pro reo, l'art. 6 § 2 CEDH et l' art. 32 al. 1 Cst. , les recourants soutiennent que la cour cantonale a retenu, de manière arbitraire, que la voiture n'avait pas été volée.</w:t>
      </w:r>
    </w:p>
    <w:p>
      <w:r>
        <w:rPr>
          <w:b/>
        </w:rPr>
        <w:t>E. 1.1</w:t>
      </w:r>
    </w:p>
    <w:p>
      <w:r>
        <w:t>Dans la mesure où, comme en l'espèce, le principe in dubio pro reo est invoqué en relation avec l'appréciation des preuves, il n'a pas de portée plus large que l'interdiction de l'arbitraire, prohibant une appréciation reposant sur des preuves inadéquates ou sans pertinence ( ATF 127 I 38 consid. 2a p. 41).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En l'espèce, la cour cantonale a condamné les recourants pour avoir trompé la compagnie d'assurances sur le kilométrage du véhicule et, partant, sur sa valeur, et non pour avoir faussement annoncé le vol du véhicule. Elle a en effet admis qu'il y avait doute sur l'existence du vol. C'est donc à tort que les recourants lui reprochent d'avoir retenu arbitrairement que la voiture n'avait pas été volée. Non pertinent, leur grief doit être rejeté.</w:t>
      </w:r>
    </w:p>
    <w:p>
      <w:r>
        <w:rPr>
          <w:b/>
        </w:rPr>
        <w:t>E. 2</w:t>
      </w:r>
    </w:p>
    <w:p>
      <w:r>
        <w:t>Les recourants contestent s'être rendu coupables de tentative d'escroquerie, en faisant valoir l'absence d'astuce.</w:t>
      </w:r>
    </w:p>
    <w:p>
      <w:r>
        <w:rPr>
          <w:b/>
        </w:rPr>
        <w:t>E. 2.1</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rPr>
          <w:b/>
        </w:rPr>
        <w:t>E. 2.1.1</w:t>
      </w:r>
    </w:p>
    <w:p>
      <w:r>
        <w:t>L'escroquerie consiste à tromper la dupe. Pour qu'il y ait escroquerie, une simple tromperie ne suffit cependant pas ; il faut qu'elle soit astucieuse. Selon la jurisprudence, la tromperie est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w:t>
      </w:r>
    </w:p>
    <w:p>
      <w:r>
        <w:rPr>
          <w:b/>
        </w:rPr>
        <w:t>E. 2.1.2</w:t>
      </w:r>
    </w:p>
    <w:p>
      <w:r>
        <w:t>Il y a tentative d'escroquerie si l'auteur, agissant intentionnellement et dans un dessein d'enrichissement, a commencé l'exécution de cette infraction sans poursuivre son exécution jusqu'à son terme ou que le résultat dommageable ne se produit pas (cf. art. 22 CP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 ATF 128 IV 18 consid. 3b p. 21 et références citées).</w:t>
      </w:r>
    </w:p>
    <w:p>
      <w:r>
        <w:rPr>
          <w:b/>
        </w:rPr>
        <w:t>E. 2.2</w:t>
      </w:r>
    </w:p>
    <w:p>
      <w:r>
        <w:t>La cour cantonale a constaté que les recourants avaient mis en scène un « édifice de mensonges », que seuls des contrôles plus poussés effectués par l'assurance auprès du garage BMW avaient permis de mettre à jour. Elle n'a toutefois pas expliqué en quoi consistait cet édifice de mensonge difficile à déceler. Selon les faits constatés, les recourants se sont bornés à indiquer un faux kilométrage dans la déclaration de sinistre et à prétendre avoir perdu la seconde clé. Il s'agit-là de simples mensonges, qui ne peuvent être qualifiés d'astucieux que si leur vérification n'est pas possible ou ne l'est que difficilement ou ne peut être raisonnablement exigée (cf. consid. 2.1.1 ci-dessus). Or, en l'espèce, il a suffi à la compagnie d'assurances de s'adresser à l'Agence BMW, auprès de laquelle les recourants étaient clients, et de lui demander les anciennes factures pour connaître le kilométrage du véhicule volé. De telles vérifications sont faciles et usuelles. Elles ne peuvent être qualifiées - comme le fait la cour cantonale - de contrôles « poussés ». En effet, les compagnies d'assurances sont conscientes des risques de fraudes ou d'allégations mensongères de leurs assurés et font preuve de vigilance. C'est ainsi qu'elles ont l'habitude de contrôler le kilométrage d'un véhicule en cas de sinistre et plus particulièrement en cas de vol, puisque le kilométrage est un des éléments pour établir la valeur du véhicule et, ainsi, chiffrer le montant de l'indemnisation. Dans ces circonstances, le mensonge des recourants, consistant à indiquer un faux kilométrage, était aisément décelable par la compagnie d'assurances et ne peut être qualifié d'astucieux. La cour cantonale a donc violé le droit fédéral en condamnant les recourants pour tentative d'escroquerie. Le recours doit être admis sur ce point.</w:t>
      </w:r>
    </w:p>
    <w:p>
      <w:r>
        <w:rPr>
          <w:b/>
        </w:rPr>
        <w:t>E. 3</w:t>
      </w:r>
    </w:p>
    <w:p>
      <w:r>
        <w:t>Le recourant, qui a été condamné à une peine privative de liberté de cinq mois ferme, dénonce la violation de l' art. 41 CP . Il convient d'entrer en matière sur ce grief, dans la mesure où une nouvelle peine doit être infligée au recourant pour les vols et l'infraction à la LStup.</w:t>
      </w:r>
    </w:p>
    <w:p>
      <w:r>
        <w:rPr>
          <w:b/>
        </w:rPr>
        <w:t>E. 3.1</w:t>
      </w:r>
    </w:p>
    <w:p>
      <w:r>
        <w:t>Selon l' art. 41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L' art. 41 al. 1 CP prévoit deux conditions cumulatives :</w:t>
      </w:r>
    </w:p>
    <w:p>
      <w:r>
        <w:rPr>
          <w:b/>
        </w:rPr>
        <w:t>E. 3.1.1</w:t>
      </w:r>
    </w:p>
    <w:p>
      <w:r>
        <w:t>Il faut d'abord que les conditions du sursis à l'exécution de la peine ne soient pas réunies. Il en va ainsi, conformément à l' art. 42 CP , lorsqu'une peine ferme paraît nécessaire pour détourner l'auteur d'autres crimes ou délits. Lorsque l'auteur a fait l'objet de condamnations durant les cinq ans qui précèdent l'infraction, il faut en outre qu'il n'existe aucune circonstance particulièrement favorable au sursis ( art. 42 al. 2 CP ).</w:t>
      </w:r>
    </w:p>
    <w:p>
      <w:r>
        <w:rPr>
          <w:b/>
        </w:rPr>
        <w:t>E. 3.1.2</w:t>
      </w:r>
    </w:p>
    <w:p>
      <w:r>
        <w:t>La seconde condition reflète la subsidiarité de la peine privative de liberté. Le juge ne peut prononcer une peine privative de liberté de moins de six mois que s'il y a lieu d'admettre que ni une peine pécuniaire ni un travail d'intérêt général ne peuvent être exécutés ( art. 41 al. 1 CP ). Pour pouvoir émettre un pronostic, le juge doit fixer dans les grandes lignes la peine pécuniaire susceptible d'être prononcée. Le nombre de jours-amende et leur montant unitaire doivent être déterminés selon les critères prévus par l' art. 34 CP . C'est seulement sur la base de la peine pécuniaire ainsi déterminée que le juge pourra poser son pronostic ( ATF 134 IV 60 consid. 8.2 p. 78 s. ; arrêt 6B_541/2007 du 13 mai 2008, consid. 7.1). Dans son appréciation, le juge doit se pencher par avance sur les questions d'exécution et tenir compte des possibilités offertes par les art. 35 et 36 CP . Il doit aussi prendre en considération la situation du condamné sur le plan de la police des étrangers ( ATF 134 IV 60 consid. 8.3 p. 79 ; arrêt 6B_541/2007 du 13 mai 2008, consid. 7.2). Le juge doit apprécier si l'intéressé est disposé à effectuer un travail d'intérêt général, mais aussi s'il y est apte et en est capable. L'impossibilité doit être liée à la personne du condamné, et non pas à des facteurs extérieurs tels que l'absence de place de travail d'intérêt général. Par exemple, le condamné peut être incapable d'accomplir un travail d'intérêt général compte tenu notamment de son emploi du temps, ou lorsqu'il le refuse (DUPUIS ET AL., CP, Code pénal, 2012, n. 4 ad art. 41). En outre, le prononcé d'un travail d'intérêt général n'est justifié qu'autant que l'on puisse au moins prévoir que l'intéressé pourra, le cas échéant, après l'exécution, poursuivre son évolution en Suisse (arrêt 6B_541/2007 du 13 mai 2008, consid. 4.2.4).</w:t>
      </w:r>
    </w:p>
    <w:p>
      <w:r>
        <w:rPr>
          <w:b/>
        </w:rPr>
        <w:t>E. 3.1.3</w:t>
      </w:r>
    </w:p>
    <w:p>
      <w:r>
        <w:t>Le juge doit motiver le choix de la courte peine privative de liberté ferme de manière circonstanciée ( art. 41 al. 2 CP ).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 ATF 134 IV 60 consid. 8.4 p. 80).</w:t>
      </w:r>
    </w:p>
    <w:p>
      <w:r>
        <w:rPr>
          <w:b/>
        </w:rPr>
        <w:t>E. 3.2</w:t>
      </w:r>
    </w:p>
    <w:p>
      <w:r>
        <w:t>En l'espèce, le juge de première instance a expliqué que les conditions du sursis n'étaient pas réalisées. Il a ajouté que le recourant devait donc être condamné à une peine privative de liberté ferme de cinq mois, en application de l' art. 41 CP , « dont les conditions sont remplies dès lors que ni les condamnations antérieures à des peines d'emprisonnement, avec ou sans sursis, ni celle à du travail d'intérêt général, ni celle à une peine pécuniaire ne paraissent l'avoir dissuadé de poursuivre son activité délictueuse » (jugement de première instance p. 20). De la sorte, il ne s'est prononcé que sur la première condition de l' art. 41 CP (conditions du sursis), mais ne dit mot sur la seconde condition (inexécution de la peine pécuniaire et du travail d'intérêt général). Pour sa part, la cour cantonale confirme la peine privative de liberté de cinq mois, qu'elle considère comme adéquate, sans examiner les conditions de l' art. 41 CP . Les exigences de motivation posées à l' art. 41 al. 2 CP ne sont dès lors pas remplies. Il appartiendra à la cour cantonale de développer son raisonnement si elle devait prononcer une peine privative ferme de moins de six mois.</w:t>
      </w:r>
    </w:p>
    <w:p>
      <w:r>
        <w:rPr>
          <w:b/>
        </w:rPr>
        <w:t>E. 4</w:t>
      </w:r>
    </w:p>
    <w:p>
      <w:r>
        <w:t>Au vu de ce qui précède, le recours doit être admis, l'arrêt attaqué est annulé et la cause renvoyée à la cour cantonale pour nouveau jugement. Il appartiendra à cette dernière d'acquitter X.________ et d'infliger une nouvelle peine à Y.________, en tenant compte de sa libération de la tentative d'escroquerie et des remarques figurant au considérant précédent. Les recourants ont requis l'assistance judiciaire. Leur requête est sans objet dans la mesure où ils obtiennent gain de cause et peuvent, à ce titre, obtenir des dépens à la charge du canton de Vaud (art. 64 al. 2 et 68 al. 1 LTF). Il n'y a pas lieu d'imposer des frais à l'intimée, qui a renoncé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