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6B_599/2007 vom 14. Mai 2008</w:t>
      </w:r>
    </w:p>
    <w:p>
      <w:r>
        <w:t>Bundesgericht, 2008-05-14, DE</w:t>
      </w:r>
    </w:p>
    <w:p>
      <w:r>
        <w:rPr>
          <w:b/>
        </w:rPr>
        <w:t xml:space="preserve">Quelle: </w:t>
      </w:r>
      <w:r>
        <w:t>https://mcp.opencaselaw.ch/entscheid/bger_6B_599_2007</w:t>
      </w:r>
    </w:p>
    <w:p>
      <w:r>
        <w:t>FR: TF 6B_599/2007 du 14 mai 2008</w:t>
      </w:r>
    </w:p>
    <w:p>
      <w:r>
        <w:t>IT: TF 6B_599/2007 del 14 maggio 2008</w:t>
      </w:r>
    </w:p>
    <w:p>
      <w:pPr>
        <w:pStyle w:val="Heading2"/>
      </w:pPr>
      <w:r>
        <w:t>Erwägungen</w:t>
      </w:r>
    </w:p>
    <w:p>
      <w:r>
        <w:rPr>
          <w:b/>
        </w:rPr>
        <w:t>E. 1</w:t>
      </w:r>
    </w:p>
    <w:p>
      <w:r>
        <w:t>Die Beschwerde richtet sich gegen die vorinstanzliche Regelung des teilbedingten Vollzugs der Freiheitsstrafe. Die ausgesprochene Freiheitsstrafe von 3 Jahren wird nicht angefochten. Der Beschwerdeführer macht geltend, die Vorinstanz sei bei der Festsetzung des unbedingt zu vollziehenden Teils der Freiheitsstrafe zu Unrecht an die oberste Grenze des von Art. 43 Abs. 2 StGB vorgegebenen Rahmens gegangen. Dabei habe sie Art. 43 Abs. 1 und Art. 47 Abs. 1 StGB ungenügend und die Möglichkeit der Halbgefangenschaft nach Art. 77b StGB überhaupt nicht berücksichtigt und damit Bundesrecht verletzt.</w:t>
      </w:r>
    </w:p>
    <w:p>
      <w:r>
        <w:rPr>
          <w:b/>
        </w:rPr>
        <w:t>E. 2</w:t>
      </w:r>
    </w:p>
    <w:p>
      <w:r>
        <w:t>Nach Auffassung der Staatsanwaltschaft des Kantons Aargau ist ein blosses Rückweisungsbegehren nicht zulässig. Da die Beschwerde in Strafsachen ein reformatorisches Rechtsmittel sei und das Bundesgericht bei liquiden Verhältnissen in der Sache selbst entscheide, müsse sie einen materiellen Antrag in der Sache enthalten. Deshalb sei fraglich, ob auf die Beschwerde überhaupt eingetreten werden könne.</w:t>
      </w:r>
    </w:p>
    <w:p>
      <w:r>
        <w:t>Die Beschwerdeschrift hat ein Rechtsbegehren zu enthalten ( Art. 42 Abs. 1 BGG ). Heisst das Bundesgericht die Beschwerde gut, so entscheidet es in der Sache selbst oder weist diese zu neuer Beurteilung an die Vorinstanz zurück ( Art. 107 Abs. 2 BGG ). Da die Beschwerde ans Bundesgericht grundsätzlich ein reformatorisches Rechtsmittel ist, muss die Beschwerde führende Partei einen Antrag in der Sache stellen. Ein blosser Rückweisungsantrag reicht ausnahmsweise aus, wenn das Bundesgericht im Falle der Gutheissung in der Sache nicht selbst entscheiden könnte, weil die erforderlichen Sachverhaltsfeststellungen der Vorinstanz fehlen ( BGE 133 II 409 E. 1.4.2 S. 415, mit Hinweis auf 133 III 489 E. 3.1 S. 489 f.). Demgegenüber darf das Bundesgericht bei Beschwerden in Strafsachen zwar in der Sache ebenfalls selbst entscheiden, doch kann es lediglich bei genügend liquiden Verhältnissen zur Reformation schreiten. Sind zusätzliche Sachverhaltserhebungen durch die Vorinstanz vorzunehmen, scheidet eine reformatorische Entscheidung von vornherein aus (nicht publizierte E. 7.2 von BGE 133 IV 293 ). Ebenso wird das Bundesgericht die Sache an den Sachrichter zurückweisen, wenn es sich - wie im vorliegenden Fall - um einen Ermessensentscheid handelt. Allgemein kann gesagt werden, dass die strafrechtliche Abteilung in aller Regel kassatorisch entscheidet (vgl. a.a.O.).</w:t>
      </w:r>
    </w:p>
    <w:p>
      <w:r>
        <w:t>Auf die Beschwerde kann deshalb eingetreten werden.</w:t>
      </w:r>
    </w:p>
    <w:p>
      <w:r>
        <w:rPr>
          <w:b/>
        </w:rPr>
        <w:t>E. 3.1</w:t>
      </w:r>
    </w:p>
    <w:p>
      <w:r>
        <w:t>Nach Auffassung der Vorinstanz hängt der teilbedingte Strafvollzug gemäss Art. 43 Abs. 1 StGB alleine vom Verschulden des Beschwerdeführers ab. Bei dessen Bewertung berücksichtigte sie die erhebliche Alkoholisierung des Beschwerdeführers verschuldensmindernd, ohne jedoch eine verminderte Schuldfähigkeit im Sinne von Art. 19 Abs. 2 StGB zu bejahen. Die Vorinstanz lehnte es im weiteren ab, in diesem Zusammenhang die geltend gemachten Täterkomponenten (Wirkung der Strafe auf das Leben des Täters, Vorleben, persönliche Verhältnisse) in die Würdigung einzubeziehen. Bei der Beurteilung des teilbedingten Strafvollzuges komme es gemäss Art. 43 Abs. 1 StGB allein auf das Verschulden an, welches in Art. 47 Abs. 2 StGB definiert werde. Dass es hinsichtlich der vorsätzlichen Tötung beim Versuch blieb, wertete die Vorinstanz strafmildernd ( Art. 22 Abs. 1 StGB ), ebenso die vom Beschwerdeführer betätigte aufrichtige Reue ( Art. 48 lit. d StGB ). In einem strafmindernden Sinne hielt es dem Beschwerdeführer zugute, dass er sich seit der länger zurückliegenden Tatbegehung wohlverhalten hat. Insgesamt erachtete die Vorinstanz das Verschulden als schwer, weshalb es sich rechtfertige, den vollziehbaren Teil auf das Maximum von 18 Monaten festzulegen.</w:t>
      </w:r>
    </w:p>
    <w:p>
      <w:r>
        <w:rPr>
          <w:b/>
        </w:rPr>
        <w:t>E. 3.2</w:t>
      </w:r>
    </w:p>
    <w:p>
      <w:r>
        <w:t>Der Beschwerdeführer macht zusammengefasst im Wesentlichen geltend, die Vorinstanz habe den Grundsatz "in dubio pro reo" verletzt, weil sie ihm keine verminderte Schuldfähigkeit im Sinne von Art. 19 Abs. 2 StGB zugebilligt, sondern aufgrund einer oberflächlichen und ausgeprägt selektiven Würdigung der einschlägigen Gutachten eine solche verneint habe. Im Übrigen hätte sie bei der Festsetzung des unbedingten Teils der Freiheitsstrafe auch das Vorleben, die persönlichen Verhältnisse und die Wirkung der Strafe auf sein Leben berücksichtigen müssen. Zudem hätte sie die aufrichtige Reue sowie den langen Zeitablauf und das Wohlverhalten einzeln strafmildernd und nicht lediglich strafmindernd bewerten müssen.</w:t>
      </w:r>
    </w:p>
    <w:p>
      <w:r>
        <w:rPr>
          <w:b/>
        </w:rPr>
        <w:t>E. 3.3</w:t>
      </w:r>
    </w:p>
    <w:p>
      <w:r>
        <w:t>Das Gericht hat,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 S. 15).</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 ( BGE 134 IV 1 E. 5.3.3 S. 11, mit Hinweis).</w:t>
      </w:r>
    </w:p>
    <w:p>
      <w:r>
        <w:rPr>
          <w:b/>
        </w:rPr>
        <w:t>E. 3.4</w:t>
      </w:r>
    </w:p>
    <w:p>
      <w:r>
        <w:t>Im Lichte dieser Rechtsprechung des Bundesgerichtes sind die Erwägungen im angefochtenen Urteil grundsätzlich nicht zu beanstanden. Die Vorinstanz durfte im Zusammenhang mit Art. 43 StGB aufgrund der konkreten Umstände von einem erheblichen Verschulden ausgehen. Die vom Beschwerdeführer dagegen erhobenen Einwände sind unbehelflich. Es kann offenbleiben, ob die Vorinstanz von einer eigentlichen Verminderung der Schuldfähigkeit im Sinne von Art. 19 Abs. 2 StGB hätte ausgehen müssen, nachdem sie die starke Alkoholisierung verschuldensmindernd angerechnet hat. Gemäss den dargelegten Grundsätzen musste die Vorinstanz die täterbezogenen Umstände nicht miteinbeziehen, weshalb auf die entsprechenden Rügen nicht weiter einzugehen ist. Insgesamt hat die Vorinstanz im Zusammenhang mit Art. 43 StGB dem Verschulden ausreichend Rechnung getragen.</w:t>
      </w:r>
    </w:p>
    <w:p>
      <w:r>
        <w:rPr>
          <w:b/>
        </w:rPr>
        <w:t>E. 3.5</w:t>
      </w:r>
    </w:p>
    <w:p>
      <w:r>
        <w:t>Nachdem die Vorinstanz davon ausging, für die Festsetzung des unbedingt zu vollziehenden Teils der Freiheitsstrafe sei ausschliesslich das Verschulden massgebend, hat sie sich in ihrem Urteil nicht zur Frage des künftigen Wohlverhaltens des Beschwerdeführers geäussert. Wie ausgeführt, hängt der Entscheid sowohl vom Grad der Vorwerfbarkeit der Tat als auch von der Wahrscheinlichkeit der Legalbewährung ab (E. 3.3). Dies bedeutet jedoch nicht, dass eine hälftige Vollzugsaufteilung nur möglich ist, wenn sowohl von einem schweren Verschulden als auch von einer eher ungünstigen Prognose auszugehen ist. Der Tatvorwurf an den Beschwerdeführer wiegt schwer, hat er doch sein Opfer aus nichtigem Anlass lebensgefährlich verletzt. Ohne sofortigen ärztlichen Eingriff wäre der Verletzte gestorben. Gleichzeitig hat der Beschwerdeführer mit dem Schuss auf das wegfahrende Auto die drei anderen im Fahrzeug sitzenden Personen rücksichtslos in unmittelbare Lebensgefahr gebracht. Der Vorinstanz kann durchaus beigepflichtet werden, wenn sie die von der ersten Instanz ausgefällte und für sie aus prozessualen Gründen verbindliche Freiheitsstrafe von 3 Jahren als milde einstuft. Auch wenn dem Beschwerdeführer für die Zukunft eine gute Prognose gestellt werden kann, durfte die Vorinstanz unter diesen Umständen den vollziehbaren Teil der Strafe auf 18 Monate festlegen, ohne ihr Ermessen zu missbrauchen. Sie hielt sich dabei an die bundesgerichtliche Rechtsprechung, wonach der unbedingte Strafteil das unter Verschuldensgesichtspunkten gebotene Mass nicht unterschreiten darf (vgl. E. 3.3). Mit der Frage der auf eine Maximaldauer von 12 Monaten beschränkten Halbgefangenschaft ( Art. 77b StGB ) musste sie sich nicht weiter auseinandersetzen (vgl. BGE 134 IV 17 E. 3.5 S. 24 f.).</w:t>
      </w:r>
    </w:p>
    <w:p>
      <w:r>
        <w:rPr>
          <w:b/>
        </w:rPr>
        <w:t>E. 4</w:t>
      </w:r>
    </w:p>
    <w:p>
      <w:r>
        <w:t>Nach dem Gesagten ist die Beschwerde abzuweisen, soweit auf sie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