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598/2019 vom 5. Juli 2019</w:t>
      </w:r>
    </w:p>
    <w:p>
      <w:r>
        <w:t>Bundesgericht, 2019-07-05, FR</w:t>
      </w:r>
    </w:p>
    <w:p>
      <w:r>
        <w:rPr>
          <w:b/>
        </w:rPr>
        <w:t xml:space="preserve">Quelle: </w:t>
      </w:r>
      <w:r>
        <w:t>https://mcp.opencaselaw.ch/entscheid/bger_6B_598_2019</w:t>
      </w:r>
    </w:p>
    <w:p>
      <w:r>
        <w:t>FR: TF 6B 598/2019 du 5 juillet 2019</w:t>
      </w:r>
    </w:p>
    <w:p>
      <w:r>
        <w:t>IT: TF 6B 598/2019 del 5 luglio 2019</w:t>
      </w:r>
    </w:p>
    <w:p>
      <w:pPr>
        <w:pStyle w:val="Heading2"/>
      </w:pPr>
      <w:r>
        <w:t>Regeste</w:t>
      </w:r>
    </w:p>
    <w:p>
      <w:r>
        <w:t>Arbitraire; fixation de la peine; expulsion (art. 66a CP) | Infractions</w:t>
      </w:r>
    </w:p>
    <w:p>
      <w:pPr>
        <w:pStyle w:val="Heading2"/>
      </w:pPr>
      <w:r>
        <w:t>Erwägungen</w:t>
      </w:r>
    </w:p>
    <w:p>
      <w:r>
        <w:rPr>
          <w:b/>
        </w:rPr>
        <w:t>E. 1</w:t>
      </w:r>
    </w:p>
    <w:p>
      <w:r>
        <w:t>Dans une section de son mémoire de recours intitulée "Bref résumé des faits", le recourant revient sur sa situation personnelle et présente sa propre version des événements, en introduisant divers éléments qui ne ressortent pas de l'état de fait de la cour cantonale ou qui entrent en contradiction avec celui-ci, sans toutefois démontrer en quoi ledit état de fait aurait été établi de manière arbitraire (cf. art. 97 al. 1 LTF ). Ce faisant, le recourant ne présente aucun grief recevable. Par ailleurs, le recourant produit diverses pièces qui, dans la mesure où elles ne ressortent pas du dossier cantonal, sont irrecevables (cf. art. 99 al. 1 LTF ).</w:t>
      </w:r>
    </w:p>
    <w:p>
      <w:r>
        <w:rPr>
          <w:b/>
        </w:rPr>
        <w:t>E. 2</w:t>
      </w:r>
    </w:p>
    <w:p>
      <w:r>
        <w:t>Le recourant reproche à la cour cantonale d'avoir apprécié les preuves et établi les faits de manière arbitraire. Il se plaint en outre, à cet égard, d'une violation du principe "in dubio pro reo".</w:t>
      </w:r>
    </w:p>
    <w:p>
      <w:r>
        <w:rPr>
          <w:b/>
        </w:rPr>
        <w:t>E. 2.1</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 ATF 144 III 93 consid. 5.2.2 p. 98). Le Tribunal fédéral n'entre pas en matière sur les critiques de nature appellatoire ( ATF 145 I 26 consid. 1.3 p. 30; 142 III 364 consid. 2.4 p. 368). 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(cf. ATF 144 II 281 consid. 3.6.2 p. 287; 137 III 226 consid. 4.2 p. 233 s.). 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144 IV 345 consid. 2.2.3.3 p. 351 s.; 143 IV 500 consid. 1.1 p. 503; 138 V 74 consid. 7 p. 82).</w:t>
      </w:r>
    </w:p>
    <w:p>
      <w:r>
        <w:rPr>
          <w:b/>
        </w:rPr>
        <w:t>E. 2.2</w:t>
      </w:r>
    </w:p>
    <w:p>
      <w:r>
        <w:t>S'agissant du cambriolage commis entre les 30 et 31 mars 2018, la cour cantonale a exposé que le recourant n'avait, initialement, pas contesté formellement sa participation à ce forfait, mais avait indiqué avoir été saoul durant cette nuit et ne pas se souvenir de ses agissements. Ce n'était que par la suite qu'il avait contesté toute implication. Ses dénégations tardives n'étaient pas convaincantes. En effet, l'ADN de l'intéressé était majoritairement présente sur le caillou utilisé pour briser la vitre de l'appartement, ce qui impliquait un contact relativement soutenu et récent. Or, l'auteur du cambriolage avait forcément dû transporter ce caillou lorsqu'il avait escaladé la terrasse, ce qui n'aurait pas permis la subsistance d'une proportion majeure de l'ADN du recourant. Par ailleurs, les probabilités qu'un ADN fût découvert après un dépôt provenant de salive ou d'urine, sur un objet exposé aux intempéries sur la voie publique, étaient insignifiantes, a fortiori en mars, mois notoirement pluvieux. Enfin, le recourant vivait dans le quartier xxx, où se situaient tant l'appartement de son amie que l'établissement public exploité par celle-ci. Même s'il avait pu lui arriver de se rendre dans le quartier yyy, celui-ci n'était pas son lieu de prédilection, ce qui amenuisait encore les probabilités de retrouver accidentellement son matériel génétique sur un caillou utilisé pour commettre un cambriolage. Selon l'autorité précédente, la présence de l'ADN du recourant sur le caillou en question ne s'expliquait que par le fait que l'intéressé l'eût manipulé immédiatement avant sa projection sur la vitre de l'appartement. La cour cantonale a ajouté que l'absence de butin retrouvé lors de la perquisition ayant suivi l'interpellation du recourant n'excluait pas l'implication de l'intéressé dans le cambriolage, puisque celle-ci était intervenue plus de deux mois après les faits. Le recourant avait ainsi eu largement le temps d'écouler son butin. L'absence d'autres traces d'ADN du recourant dans l'appartement n'était pas non plus déterminante. Il n'était en effet pas de coutume de procéder à de nombreux prélèvements d'ADN pour un cambriolage, les recherches ciblant plutôt les objets - à l'instar du caillou utilisé pour briser la vitre - présentant le plus de chances d'avoir été en contact avec l'auteur.</w:t>
      </w:r>
    </w:p>
    <w:p>
      <w:r>
        <w:rPr>
          <w:b/>
        </w:rPr>
        <w:t>E. 2.3</w:t>
      </w:r>
    </w:p>
    <w:p>
      <w:r>
        <w:t>Le recourant présente une argumentation purement appellatoire et, partant, irrecevable, par laquelle il rediscute intégralement l'appréciation des preuves à laquelle s'est livrée la cour cantonale, sans démontrer en quoi celle-ci serait arbitraire. En particulier, l'intéressé conteste l'argumentation de l'autorité précédente consacrée à écarter l'hypothèse d'une présence fortuite de traces de son ADN sur le caillou utilisé pour le cambriolage, mais ne démontre pas en quoi celle-ci aurait tiré des constatations insoutenables desdites traces. Le fait que des hypothèses concernant le dépôt de traces d'ADN sur cet objet puissent être formulées ne fait en rien apparaître la conclusion de la cour cantonale - tendant à la présence de telles traces due à une manipulation du caillou par le recourant au moment du cambriolage - comme arbitraire. Par ailleurs, on ne voit pas en quoi l'autorité précédente aurait tiré des constatations insoutenables des déclarations du recourant, dès lors que ce dernier a indiqué ce qui suit lors de l'audition du 20 juin 2018 tenue par le ministère public (cf. pièce C-3 du dossier cantonal) : "Vous me demandez si je persiste contester être l'auteur des cambriolages. Je vous réponds que je ne m'en souviens pas, j'étais bourré d'alcool ce jour-là. Vous me demandez comment je me souviens que j'étais « bourré » le 30 mars 2018. Je m'en souviens, j'étais sorti et j'avais trop bu. Sur question, je n'exclus pas avoir commis ce cambriolage, mais je n'en ai aucun souvenir. J'indique n'avoir jamais volé ici en Suisse. " Au vu de ce qui précède, on ne perçoit pas pourquoi il aurait été insoutenable, pour la cour cantonale, de retenir que le recourant n'avait pas, de manière constante, contesté être l'auteur du cambriolage litigieux. En définitive, la cour cantonale n'a nullement versé dans l'arbitraire en retenant que le recourant était l'auteur du cambriolage en question. Le grief doit être rejeté dans la mesure où il est recevable.</w:t>
      </w:r>
    </w:p>
    <w:p>
      <w:r>
        <w:rPr>
          <w:b/>
        </w:rPr>
        <w:t>E. 3</w:t>
      </w:r>
    </w:p>
    <w:p>
      <w:r>
        <w:t>Le recourant reproche à la cour cantonale de lui avoir infligé une peine privative de liberté.</w:t>
      </w:r>
    </w:p>
    <w:p>
      <w:r>
        <w:rPr>
          <w:b/>
        </w:rPr>
        <w:t>E. 3.1</w:t>
      </w:r>
    </w:p>
    <w:p>
      <w:r>
        <w:t>Aux termes de l' art. 41 al. 1 CP en vigueur jusqu'au 31 décembre 2017, le juge peut prononcer une peine privative de liberté ferme de moins de six mois uniquement si les conditions du sursis à l'exécution de la peine ( art. 42 CP ) ne sont pas réunies et s'il y a lieu d'admettre que ni une peine pécuniaire, ni un travail d'intérêt général ne peuvent être exécutés. Dans la conception de la partie générale du CP en vigueur jusqu'à la fin de l'année 2017,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Lorsque des motifs de prévention spéciale permettent de considérer qu'une peine pécuniaire ou une peine de travail d'intérêt général seraient d'emblée inadaptées, l'autorité peut prononcer une peine privative de liberté de courte durée (cf. arrêts 6B_375/2019 du 12 juin 2019 consid. 2; 6B_279/2019 du 14 mai 2019 consid. 2.2). Selon l' art. 41 al. 1 CP en vigueur depuis le 1er janvier 2018,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 art. 41 al. 1 CP dans sa teneur actuelle n'est pas plus favorable au prévenu que cette disposition dans sa teneur jusqu'au 31 décembre 2017(cf. art. 2 al. 2 CP ; arrêt 6B_375/2019 précité consid. 2 et les références citées).</w:t>
      </w:r>
    </w:p>
    <w:p>
      <w:r>
        <w:rPr>
          <w:b/>
        </w:rPr>
        <w:t>E. 3.2</w:t>
      </w:r>
    </w:p>
    <w:p>
      <w:r>
        <w:t>La cour cantonale a exposé que puisque le nouveau droit des sanctions, en vigueur depuis le 1er janvier 2018, n'était pas plus favorable au recourant que celui applicable jusqu'au 31 décembre 2017, chaque infraction devait être considérée à l'aune du droit en vigueur au moment de sa commission. Elle a indiqué que, compte tenu des antécédents du recourant, de sa situation personnelle et du fait que ce dernier ne s'était jamais acquitté des peines pécuniaires auxquelles il avait été condamné, seule une peine privative de liberté était envisageable pour sanctionner tant l'infraction de dénonciation calomnieuse, commise en 2015, que les autres infractions, commises en 2018. Les antécédents de l'intéressé étaient mauvais et celui-ci n'avait pas su tirer les leçons de ses précédentes condamnations à des peines pécuniaires, lesquelles ne l'avaient pas dissuadé de commettre de nouvelles infractions. En faisant application des règles sur le concours, l'autorité précédente a estimé que l'infraction de dénonciation calomnieuse devait être sanctionnée par une peine privative de liberté de trois mois. Elle a ensuite aggravé celle-ci de trois mois supplémentaires pour tenir compte des infractions de vol, de dommages à la propriété, de violation de domicile et de séjour illégal.</w:t>
      </w:r>
    </w:p>
    <w:p>
      <w:r>
        <w:rPr>
          <w:b/>
        </w:rPr>
        <w:t>E. 3.3</w:t>
      </w:r>
    </w:p>
    <w:p>
      <w:r>
        <w:t>Le recourant relève que la majeure partie de ses antécédents concerne la législation fédérale sur les étrangers et qu'il n'avait, auparavant, jamais été condamné pour des infractions contre l'honneur, la personnalité, le patrimoine ou l'administration de la justice. Cette précision ne contredit en rien l'appréciation de la cour cantonale concernant le nombre de condamnations passées de l'intéressé ou l'inefficacité des sanctions alors prononcées pour détourner celui-ci de la délinquance. Le recourant affirme ensuite qu'il ne lui serait pas impossible d'exécuter une peine pécuniaire, dès lors que sa situation personnelle aurait récemment changé et qu'il bénéficierait d'un emploi lui permettant de s'acquitter d'une éventuelle sanction de ce genre. On comprend cependant de l'arrêt attaqué que la cour cantonale n'a pas choisi le genre des peines en considérant qu'une peine pécuniaire ne pourrait être exécutée (cf. art. 41 al. 1 aCP et art. 41 al. 1 let. b CP ), mais en estimant qu'une telle sanction ne pourrait pas détourner l'intéressé de la commission de nouvelles infractions, compte tenu de sa situation personnelle et en précisant que les diverses peines pécuniaires prononcées par le passé n'avaient pas produit d'effet sur son comportement. Or, la jurisprudence constante du Tribunal fédéral admet qu'une peine privative de liberté puisse être prononcée lorsque des motifs de prévention spéciale permettent de considérer qu'une peine pécuniaire serait d'emblée inadaptée (cf. consid. 3.1 supra). Le recourant ne démontre donc aucunement en quoi la peine privative de liberté qui lui a été infligée pourrait s'avérer contraire au droit fédéral. Pour le reste, l'argumentation du recourant est sans objet dans la mesure où elle suppose sa libération des chefs de prévention de vol, de dommages à la propriété et de violation de domicile, qu'il n'obtient pas (cf. consid. 2 supra).</w:t>
      </w:r>
    </w:p>
    <w:p>
      <w:r>
        <w:rPr>
          <w:b/>
        </w:rPr>
        <w:t>E. 4</w:t>
      </w:r>
    </w:p>
    <w:p>
      <w:r>
        <w:t>Le recourant reproche à l'autorité précédente d'avoir ordonné son expulsion du territoire suisse.</w:t>
      </w:r>
    </w:p>
    <w:p>
      <w:r>
        <w:rPr>
          <w:b/>
        </w:rPr>
        <w:t>E. 4.1</w:t>
      </w:r>
    </w:p>
    <w:p>
      <w:r>
        <w:t>Aux termes de l' art. 66a al. 1 let . d CP, le juge expulse de Suisse l'étranger qui est condamné pour vol ( art. 139 CP ) en lien avec une violation de domicile ( art. 186 CP ),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En l'espèce, le recourant a commis des infractions (vol et violation de domicile) qui tombent sous le coup de l' art. 66a al. 1 let . d CP. Il remplit donc a priori les conditions d'une expulsion, sous la réserve d'une application de l' art. 66a al. 2 CP , voire également des normes de droit international.</w:t>
      </w:r>
    </w:p>
    <w:p>
      <w:r>
        <w:rPr>
          <w:b/>
        </w:rPr>
        <w:t>E. 4.2</w:t>
      </w:r>
    </w:p>
    <w:p>
      <w:r>
        <w:t>Les conditions pour appliquer l' art. 66a al. 2 CP sont cumulatives. Afin de pouvoir renoncer à une expulsion prévue par l' art. 66a al. 1 CP ,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 art. 5 al. 2 Cst. serait violé. Le juge doit ainsi renoncer à l'expulsion lorsque les conditions de l' art. 66a al. 2 CP sont réunies, conformément au principe de proportionnalité ( ATF 144 IV 332 consid. 3.3 p. 339 s.).</w:t>
      </w:r>
    </w:p>
    <w:p>
      <w:r>
        <w:rPr>
          <w:b/>
        </w:rPr>
        <w:t>E. 4.3.1</w:t>
      </w:r>
    </w:p>
    <w:p>
      <w:r>
        <w:t>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 art. 66a al. 2 CP ,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6B_143/2019 du 6 mars 2019 consid. 3.3.1).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6B_143/2019 précité consid. 3.3.1; 6B_1329/2018 du 14 février 2019 consid. 2.3.1; 6B_1262/2018 du 29 janvier 2019 consid. 2.3.1).</w:t>
      </w:r>
    </w:p>
    <w:p>
      <w:r>
        <w:rPr>
          <w:b/>
        </w:rPr>
        <w:t>E. 4.3.2</w:t>
      </w:r>
    </w:p>
    <w:p>
      <w:r>
        <w:t>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plus récemment arrêt 6B_143/2019 précité consid. 3.3.2 et les références citées). En l'espèce, s'il ressort de l'arrêt attaqué que le recourant est arrivé en Suisse en 2003 déjà, il n'apparaît pas que ce dernier y aurait jamais séjourné légalement depuis. On ne voit pas sur quelles bases l'intéressé pourrait se prévaloir d'un droit au respect de sa vie privée, au sens des art. 13 al. 1 Cst. et 8 par. 1 CEDH, dès lors qu'il ne présente pas des liens sociaux ou professionnels spécialement intenses avec la Suisse et que son intégration dans ce pays n'est pas particulièrement forte. Le recourant se prévaut de la présence, en Suisse, de son amie avec laquelle il aurait des projets de mariage. L'autorité précédente a cependant retenu, à cet égard, que si une procédure préparatoire avait été entamée auprès des autorités, le sort de celle-ci était inconnu, notamment car un délai non-prolongeable au 27 mars 2019 avait été imparti au recourant pour communiquer une copie d'un titre de séjour. Dès lors que ce dernier est dépourvu d'un tel titre, on ne saurait ainsi considérer qu'il existe, en l'état, un mariage imminent (cf. arrêt 6B_612/2018 du 22 août 2018 consid. 2.7 et les références citées). Par ailleurs, il ne ressort pas de l'arrêt attaqué que la relation évoquée par le recourant pourrait être assimilée à une véritable union conjugale propre à mettre ce dernier au bénéfice de la protection de l' art. 8 par. 1 CEDH en matière de "vie familiale" (cf. arrêt 6B_143/2019 précité consid. 3.3.2 et les références citées). Pour le reste, dès lors que le recourant a vécu la majeure partie de sa vie en Algérie et qu'il n'entretient que des liens très ténus avec la Suisse, on ne voit pas qu'une réintégration dans son pays d'origine serait plus délicate qu'une intégration dans le pays hôte. Sur ce point, on peine d'ailleurs à comprendre comment le recourant pourrait actuellement espérer exercer une activité lucrative licite en Suisse, à défaut de bénéficier d'un titre de séjour régulier. Enfin, dans la mesure où l'intéressé affirme s'être converti au christianisme et être en conséquence exposé, en cas de retour en Algérie, à des persécutions, celui-ci s'écarte de l'état de fait de la cour cantonale, par lequel le Tribunal fédéral est lié (cf. art. 105 al. 1 LTF ). Il en va de même lorsque le recourant soutient qu'il aurait reçu des menaces de mort en Algérie - l'autorité précédente ayant exclu ces allégations en relevant que celui-ci avait tout d'abord indiqué être menacé par sa famille avant de prétendre être fils unique et orphelin - ou prétend souffrir d'un syndrome de choc post-traumatique. On ne voit pas, au demeurant, en quoi l'existence d'une telle affection s'opposerait à un retour du recourant dans son pays d'origine. Partant, il n'apparaît pas que l'expulsion ordonnée pourrait placer l'intéressé dans une situation personnelle grave. La première condition cumulative permettant au juge de renoncer exceptionnellement à l'expulsion fait donc défaut. Une application de l' art. 66a al. 2 CP ne pouvait entrer en ligne de compte. Le grief doit être rejeté dans la mesure où il est recevable.</w:t>
      </w:r>
    </w:p>
    <w:p>
      <w:r>
        <w:rPr>
          <w:b/>
        </w:rPr>
        <w:t>E. 5</w:t>
      </w:r>
    </w:p>
    <w:p>
      <w:r>
        <w:t>Le recours doit être rejeté dans la mesure où il est recevable. Comme il était dépourvu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