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597/2024 vom 30. September 2024</w:t>
      </w:r>
    </w:p>
    <w:p>
      <w:r>
        <w:t>Bundesgericht, 2024-09-30, FR</w:t>
      </w:r>
    </w:p>
    <w:p>
      <w:r>
        <w:rPr>
          <w:b/>
        </w:rPr>
        <w:t xml:space="preserve">Quelle: </w:t>
      </w:r>
      <w:r>
        <w:t>https://mcp.opencaselaw.ch/entscheid/bger_6B_597_2024</w:t>
      </w:r>
    </w:p>
    <w:p>
      <w:r>
        <w:t>FR: TF 6B 597/2024 du 30 septembre 2024</w:t>
      </w:r>
    </w:p>
    <w:p>
      <w:r>
        <w:t>IT: TF 6B 597/2024 del 30 settembre 2024</w:t>
      </w:r>
    </w:p>
    <w:p>
      <w:pPr>
        <w:pStyle w:val="Heading2"/>
      </w:pPr>
      <w:r>
        <w:t>Regeste</w:t>
      </w:r>
    </w:p>
    <w:p>
      <w:r>
        <w:t>irrecevabilité du recours en matière pénale (fixation de la peine) | Droit pénal (en général)</w:t>
      </w:r>
    </w:p>
    <w:p>
      <w:pPr>
        <w:pStyle w:val="Heading2"/>
      </w:pPr>
      <w:r>
        <w:t>Erwägungen</w:t>
      </w:r>
    </w:p>
    <w:p>
      <w:r>
        <w:rPr>
          <w:b/>
        </w:rPr>
        <w:t>E. 1</w:t>
      </w:r>
    </w:p>
    <w:p>
      <w:r>
        <w:t>Par arrêt du 5 août 2024, la Chambre pénale d'appel et de révision de la Cour de justice du canton de Genève a rejeté l'appel formé par A.________ contre le jugement rendu par le Tribunal de police genevois le 12 janvier 2024, le condamnant à une peine privative de liberté de 12 mois (sous déduction de la détention subie avant jugement) et à une amende de 300 fr., pour rupture de ban, vol d'importance mineure, violation de domicile et infraction à la LStup.</w:t>
      </w:r>
    </w:p>
    <w:p>
      <w:r>
        <w:rPr>
          <w:b/>
        </w:rPr>
        <w:t>E. 2</w:t>
      </w:r>
    </w:p>
    <w:p>
      <w:r>
        <w:t>Par courrier du 14 août 2024, la cour cantonale a adressé à la Cour de céans, pour objet de sa compétence, l'acte de A.________, daté du 11 août 2024, par lequel il forme recours au Tribunal fédéral contre l'arrêt susmentionné. On comprend de l'écriture qu'il conclut en substance au prononcé d'une peine plus clémente. Par courrier de la Cour de céans du 16 août 2024, A.________ a été rendu attentif aux exigences de motivation d'un recours en matière pénale au Tribunal fédéral. Il lui a été précisé que le délai de recours n'était pas encore échu et qu'il conservait la faculté de compléter son écriture, à défaut de quoi il serait statué en l'état du dossier. A.________ n'a pas déposé d'écriture complémentaire par la suite.</w:t>
      </w:r>
    </w:p>
    <w:p>
      <w:r>
        <w:rPr>
          <w:b/>
        </w:rPr>
        <w:t>E. 3</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6B_586/2024 du 4 septembre 2024 consid. 3.1).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que s'ils ont été invoqués et motivés de manière précise ( art. 106 al. 2 LTF ). Les critiques de nature appellatoire sont irrecevables (cf. ATF 150 I 50 consid. 3.3.1; 149 IV 231 consid. 2.4; 148 IV 356 consid. 2.1).</w:t>
      </w:r>
    </w:p>
    <w:p>
      <w:r>
        <w:rPr>
          <w:b/>
        </w:rPr>
        <w:t>E. 4</w:t>
      </w:r>
    </w:p>
    <w:p>
      <w:r>
        <w:t>En l'espèce, l'écriture du recourant, très succincte, ne comporte aucune motivation topique destinée à démontrer en quoi la cour cantonale aurait constaté les faits de manière arbitraire ou violé le droit fédéral. Bien que rendu attentif aux exigences rappelées ci-dessus, le recourant n'a pas complété son écriture. Le recours ne répond manifestement pas aux exigences de motivation d'un recours en matière pénale au Tribunal fédéral (cf. art. 42 al. 2 et 106 al. 2 LTF).</w:t>
      </w:r>
    </w:p>
    <w:p>
      <w:r>
        <w:rPr>
          <w:b/>
        </w:rPr>
        <w:t>E. 5</w:t>
      </w:r>
    </w:p>
    <w:p>
      <w:r>
        <w:t>Au vu de ce qui précède, l'irrecevabilité du recours est manifeste. Il convient de le constater par le biais de la procédure prévue par l' art. 108 al. 1 let. b LTF . Le recourant, qui succombe, supportera les frais judiciaires, dont le montant sera fixé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