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597/2016 vom 27. Juni 2016</w:t>
      </w:r>
    </w:p>
    <w:p>
      <w:r>
        <w:t>Bundesgericht, 2016-06-27, DE</w:t>
      </w:r>
    </w:p>
    <w:p>
      <w:r>
        <w:rPr>
          <w:b/>
        </w:rPr>
        <w:t xml:space="preserve">Quelle: </w:t>
      </w:r>
      <w:r>
        <w:t>https://mcp.opencaselaw.ch/entscheid/bger_6B_597_2016</w:t>
      </w:r>
    </w:p>
    <w:p>
      <w:r>
        <w:t>FR: TF 6B 597/2016 du 27 juin 2016</w:t>
      </w:r>
    </w:p>
    <w:p>
      <w:r>
        <w:t>IT: TF 6B 597/2016 del 27 giugno 2016</w:t>
      </w:r>
    </w:p>
    <w:p>
      <w:pPr>
        <w:pStyle w:val="Heading2"/>
      </w:pPr>
      <w:r>
        <w:t>Regeste</w:t>
      </w:r>
    </w:p>
    <w:p>
      <w:r>
        <w:t>Nichtanhandnahme | Strafprozess</w:t>
      </w:r>
    </w:p>
    <w:p>
      <w:pPr>
        <w:pStyle w:val="Heading2"/>
      </w:pPr>
      <w:r>
        <w:t>Erwägungen</w:t>
      </w:r>
    </w:p>
    <w:p>
      <w:r>
        <w:rPr>
          <w:b/>
        </w:rPr>
        <w:t>E. 1</w:t>
      </w:r>
    </w:p>
    <w:p>
      <w:r>
        <w:t>In den oben erwähnten vier Verfügungen wies die Vorinstanz unter Hinweis auf ihren Beschluss BK 16 46 und 16 69 vom 21. März 2016 Eingaben des Beschwerdeführers ohne förmliche Behandlung an ihn zurück. Auf eine gegen den erwähnten Beschluss gerichtete Beschwerde trat das Bundesgericht im Urteil 6B_327/2016 vom 22. April 2016 nicht ein. Auch im vorliegenden Verfahren geht es um Strafanzeigen des Beschwerdeführers gegen Amtspersonen. Insoweit kann auf das bundesgerichtliche Urteil 6B_247/2015 vom 31. März 2015 verwiesen werden. Auf die Beschwerden ist im Verfahren nach Art. 108 BGG nicht einzutreten.</w:t>
      </w:r>
    </w:p>
    <w:p>
      <w:r>
        <w:rPr>
          <w:b/>
        </w:rPr>
        <w:t>E. 2</w:t>
      </w:r>
    </w:p>
    <w:p>
      <w:r>
        <w:t>Die Gerichtskosten sind dem Beschwerdeführer aufzuerlegen ( Art. 66 Abs. 1 BGG ).</w:t>
      </w:r>
    </w:p>
    <w:p>
      <w:r>
        <w:rPr>
          <w:b/>
        </w:rPr>
        <w:t>E. 3</w:t>
      </w:r>
    </w:p>
    <w:p>
      <w:r>
        <w:t>Wie dem Beschwerdeführer bereits in vielen Urteilen mitgeteilt wurde, behält sich das Bundesgericht vor, offensichtlich unzulässige Eingaben oder Revisionsgesuche in dieser Sache nach einer Prüfung ohne Antwort und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