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6B_596/2022 vom 14. Juni 2022</w:t>
      </w:r>
    </w:p>
    <w:p>
      <w:r>
        <w:t>Bundesgericht, 2022-06-14, FR</w:t>
      </w:r>
    </w:p>
    <w:p>
      <w:r>
        <w:rPr>
          <w:b/>
        </w:rPr>
        <w:t xml:space="preserve">Quelle: </w:t>
      </w:r>
      <w:r>
        <w:t>https://mcp.opencaselaw.ch/entscheid/bger_6B_596_2022</w:t>
      </w:r>
    </w:p>
    <w:p>
      <w:r>
        <w:t>FR: TF 6B_596/2022 du 14 juin 2022</w:t>
      </w:r>
    </w:p>
    <w:p>
      <w:r>
        <w:t>IT: TF 6B_596/2022 del 14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11 mars 2022, la Chambre des recours pénale du Tribunal cantonal vaudois a partiellement admis le recours formé par A.________ contre l'ordonnance de non-entrée en matière rendue le 4 janvier 2022 par le Ministère public de l'arrondissement de Lausanne. Elle l'a annulée, ordonnant l'ouverture d'une instruction pénale pour injure à l'encontre de B.________ et l'a confirmée pour le surplus, le dossier de la cause étant renvoyé au ministère public pour qu'il procède dans le sens des considérants.</w:t>
      </w:r>
    </w:p>
    <w:p>
      <w:r>
        <w:rPr>
          <w:b/>
        </w:rPr>
        <w:t>E. 2</w:t>
      </w:r>
    </w:p>
    <w:p>
      <w:r>
        <w:t>Par acte daté du 5 mai 2022, non signé, reçu le 10 mai suivant, A.________ a formé un recours en matière pénale au Tribunal fédéral contre l'arrêt précité.</w:t>
      </w:r>
    </w:p>
    <w:p>
      <w:r>
        <w:rPr>
          <w:b/>
        </w:rPr>
        <w:t>E. 3</w:t>
      </w:r>
    </w:p>
    <w:p>
      <w:r>
        <w:t>Par ordonnance du 10 mai 2022, notifiée sous pli recommandé, A.________ a été invitée, conformément à l' art. 42 al. 5 LTF , à corriger l'irrégularité relative à l'absence de signature du recours dans un délai échéant au 25 mai 2022. Il lui a été précisé qu'à défaut, son mémoire ne serait pas pris en considération.</w:t>
      </w:r>
    </w:p>
    <w:p>
      <w:r>
        <w:rPr>
          <w:b/>
        </w:rPr>
        <w:t>E. 4</w:t>
      </w:r>
    </w:p>
    <w:p>
      <w:r>
        <w:t>Le pli recommandé contenant l'ordonnance du 10 mai 2022 n'a pas été réclamé et est revenu en retour. Dite ordonnance a alors été réexpédiée par courrier A à A.________. Celle-ci n'y a donné aucune suite.</w:t>
      </w:r>
    </w:p>
    <w:p>
      <w:r>
        <w:rPr>
          <w:b/>
        </w:rPr>
        <w:t>E. 5</w:t>
      </w:r>
    </w:p>
    <w:p>
      <w:r>
        <w:t>Conformément à l' art. 42 al. 1 LTF , les mémoires de recours doivent être signés. L' art. 42 al. 5 LTF mentionné plus haut prévoit pour sa part que si la signature de la partie fait défaut, le Tribunal fédéral imparti à la partie concernée un délai approprié pour remédier à l'irrégularité et l'avertit qu'à défaut, le mémoire ne sera pas pris en considération.</w:t>
      </w:r>
    </w:p>
    <w:p>
      <w:r>
        <w:t>Tel a été le cas en l'espèce, par le biais de l'ordonnance du 10 mai 2022. Or, comme relevé, la recourante n'y a pas donné suite, si bien que l'irrégularité n'a pas été réparée. Le recours s'en trouve manifestement irrecevable.</w:t>
      </w:r>
    </w:p>
    <w:p>
      <w:r>
        <w:rPr>
          <w:b/>
        </w:rPr>
        <w:t>E. 6</w:t>
      </w:r>
    </w:p>
    <w:p>
      <w:r>
        <w:t>Au vu de ce qui précède, le recours, manifestement irrecevable, doit être écarté en application de la procédure simplifiée prévue à l' art. 108 al. 1 let. a LTF .</w:t>
      </w:r>
    </w:p>
    <w:p>
      <w:r>
        <w:t>Le présent arrêt est exceptionnellement rendu sans frais (art. 66 al. 1, 2</w:t>
      </w:r>
    </w:p>
    <w:p>
      <w:r>
        <w:t>e phrase,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