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6B_595/2022 vom 2. Juni 2023</w:t>
      </w:r>
    </w:p>
    <w:p>
      <w:r>
        <w:t>Bundesgericht, 2023-06-02, FR</w:t>
      </w:r>
    </w:p>
    <w:p>
      <w:r>
        <w:rPr>
          <w:b/>
        </w:rPr>
        <w:t xml:space="preserve">Quelle: </w:t>
      </w:r>
      <w:r>
        <w:t>https://mcp.opencaselaw.ch/entscheid/bger_6B_595_2022</w:t>
      </w:r>
    </w:p>
    <w:p>
      <w:r>
        <w:t>FR: TF 6B_595/2022 du 2 juin 2023</w:t>
      </w:r>
    </w:p>
    <w:p>
      <w:r>
        <w:t>IT: TF 6B_595/2022 del 2 giugno 2023</w:t>
      </w:r>
    </w:p>
    <w:p>
      <w:pPr>
        <w:pStyle w:val="Heading2"/>
      </w:pPr>
      <w:r>
        <w:t>Erwägungen</w:t>
      </w:r>
    </w:p>
    <w:p>
      <w:r>
        <w:rPr>
          <w:b/>
        </w:rPr>
        <w:t>E. 1</w:t>
      </w:r>
    </w:p>
    <w:p>
      <w:r>
        <w:t>Dénonçant une violation de son droit d'être entendu, le recourant reproche à la cour cantonale d'avoir refusé d'ordonner une expertise portant sur les contrats d'affrètement ainsi que sur les rémunérations usuelles des différents acteurs actifs dans ce domaine. Pour le recourant, cette expertise devrait permettre de déterminer les droits et obligations des parties à la présente cause et, en particulier, l'étendue du mandat et des pouvoirs que lui avait confié l'intimée.</w:t>
      </w:r>
    </w:p>
    <w:p>
      <w:r>
        <w:rPr>
          <w:b/>
        </w:rPr>
        <w:t>E. 1.1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141 I 60 consid. 3.3; 136 I 229 consid. 5.3).</w:t>
      </w:r>
    </w:p>
    <w:p>
      <w:r>
        <w:rPr>
          <w:b/>
        </w:rPr>
        <w:t>E. 1.2</w:t>
      </w:r>
    </w:p>
    <w:p>
      <w:r>
        <w:t>La cour cantonale a exposé les relations contractuelles qui existaient entre les parties. Elle a refusé d'ordonner une expertise au motif que le recourant n'avait pas développé en quoi l'expertise serait susceptible de modifier l'appréciation qui pourrait être faite des éléments figurant déjà au dossier ni en quoi cette nouvelle preuve serait déterminante pour l'issue du litige (jugement attaqué, p. 19). Dans son mémoire de recours au Tribunal fédéral, le recourant ne donne aucune explication complémentaire, de sorte que la cour de céans ne voit pas non plus en quoi l'expertise pourrait modifier les faits clairement circonscrits qui sont reprochés au recourant en relation avec l'infraction d'abus de confiance. Insuffisamment motivée (cf. art. 106 al. 2 LTF ), l'argumentation du recourant est donc irrecevable.</w:t>
      </w:r>
    </w:p>
    <w:p>
      <w:r>
        <w:rPr>
          <w:b/>
        </w:rPr>
        <w:t>E. 2</w:t>
      </w:r>
    </w:p>
    <w:p>
      <w:r>
        <w:t>Dénonçant la violation des règles de la loi fédérale sur le droit international privé (ci-après: LDIP), le recourant conteste sa condamnation pour abus de confiance.</w:t>
      </w:r>
    </w:p>
    <w:p>
      <w:r>
        <w:rPr>
          <w:b/>
        </w:rPr>
        <w:t>E. 2.1</w:t>
      </w:r>
    </w:p>
    <w:p>
      <w:r>
        <w:t>Commet un abus de confiance au sens de l' art. 138 ch. 1 al. 2 CP , celui qui, sans droit, aura employé à son profit ou à celui d'un tiers des valeurs patrimoniales qui lui avaient été confiées.</w:t>
      </w:r>
    </w:p>
    <w:p>
      <w:r>
        <w:rPr>
          <w:b/>
        </w:rPr>
        <w:t>E. 2.1.1</w:t>
      </w:r>
    </w:p>
    <w:p>
      <w:r>
        <w:t>Sur le plan objectif, l'infraction à l' 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143 IV 297 consid. 1.3 p. 300; 133 IV 21 consid. 6.2). Le comportement délictueux consiste à utiliser la valeur patrimoniale contrairement aux instructions reçues, en s'écartant de la destination fixée ( ATF 129 IV 257 consid. 2.2.1; arrêt 6B_1443/2021 du 13 février 2023 consid. 1.1.2).</w:t>
      </w:r>
    </w:p>
    <w:p>
      <w:r>
        <w:t>En ce qui concerne le transfert de sommes d'argent, les valeurs patrimoniales sont considérées comme confiées, si l'auteur agit comme auxiliaire du paiement ou de l'encaissement, en tant que représentant direct ou indirect, notamment comme employé d'une entreprise, organe d'une personne morale ou comme fiduciaire. En revanche, lorsque l'auteur reçoit les valeurs patrimoniales pour lui-même, les valeurs ne lui sont pas confiées, même s'il doit ensuite verser une somme équivalente ou une partie de celle-ci sur la base d'un rapport juridique distinct; l'inexécution de l'obligation de reverser une somme d'argent ne suffit pas à elle seule pour constituer un abus de confiance ( ATF 118 IV 239 consid. 2b p. 241 s.).</w:t>
      </w:r>
    </w:p>
    <w:p>
      <w:r>
        <w:t>Bien que cet élément ne soit pas explicitement énoncé par l' art. 138 ch. 1 al. 2 CP , la disposition exige que le comportement adopté par l'auteur cause un dommage, qui représente un élément constitutif objectif non écrit ( ATF 111 IV 19 consid. 5; cf. arrêts 6B_1354/2020 du 1er juin 2022 consid. 2.1; 6B_291/2022 du 4 mai 2022 consid. 3.3.1; 6B_972/2018 du 20 novembre 2018 consid. 2.1).</w:t>
      </w:r>
    </w:p>
    <w:p>
      <w:r>
        <w:rPr>
          <w:b/>
        </w:rPr>
        <w:t>E. 2.1.2</w:t>
      </w:r>
    </w:p>
    <w:p>
      <w:r>
        <w:t>D'un point de vue subjectif, l'auteur doit avoir agi intentionnellement et dans un dessein d'enrichissement illégitime, lequel peut être réalisé par dol éventuel (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ou encore s'il était en droit de compenser ( ATF 105 IV 29 consid. 3a).</w:t>
      </w:r>
    </w:p>
    <w:p>
      <w:r>
        <w:rPr>
          <w:b/>
        </w:rPr>
        <w:t>E. 2.2</w:t>
      </w:r>
    </w:p>
    <w:p>
      <w:r>
        <w:t>La cour cantonale a constaté que D.________ Sàrl a joué un rôle d'intermédiaire dans le cadre des contrats d'affrètement conclus entre B.________ et F.________ les 7 juin et 25 juillet 2016, portant sur deux avions A321-200. Ainsi, représentée par le recourant, D.________ Sàrl a reçu de la part de B.________, entre le 3 juillet et le 10 août 2016, un montant de 1'490'440 EUR destiné à F.________ pour l'affrètement des avions. Elle a ensuite transféré un montant de 1'273'072 EUR à F.________. A la suite de la résiliation des contrats, cette dernière société a retourné, entre les 17 et 19 août 2016, le montant qu'elle avait perçu. Elle a remis les valeurs à D.________ Sàrl, pour que cette société les restitue à B.________. D.________ Sàrl a donc bien reçu le montant en tant qu'auxiliaire d'encaissement, à charge pour elle de les remettre à B.________. C'est donc à juste titre que la cour cantonale a considéré que les valeurs devaient être considérées comme confiées au sens de l' art. 138 al. 1 CP .</w:t>
      </w:r>
    </w:p>
    <w:p>
      <w:r>
        <w:rPr>
          <w:b/>
        </w:rPr>
        <w:t>E. 2.3</w:t>
      </w:r>
    </w:p>
    <w:p>
      <w:r>
        <w:t>Le recourant dénonce une violation des dispositions de la LDIP. Selon lui, la cour cantonale ne pouvait pas arriver à la conclusion qu'il avait commis l'infraction d'abus de confiance sans examiner le contenu du droit anglais. Il expose qu'en vertu de l' art. 116 al. 1 LDIP , le contrat est régi par le droit choisi par les parties, l'élection de droit devant être expresse ou ressortir de façon certaine des dispositions du contrat ou des circonstances (al. 2); aux termes de l' art. 16 LDIP , le contenu du droit étranger doit être établi d'office par le juge. Il se réfère aux titres n° s 5 et 7 produits à l'appui de son recours, à savoir à une</w:t>
      </w:r>
    </w:p>
    <w:p>
      <w:r>
        <w:t>letter of intent du 12 mai 2016 qui serait soumise au droit anglais et au jugement de première instance qui le constate. Le recourant n'explique toutefois pas en quoi cette</w:t>
      </w:r>
    </w:p>
    <w:p>
      <w:r>
        <w:t>letter of intent influerait sur les actes qui lui sont reprochés en relation avec l'infraction d'abus de confiance. En particulier, il ne précise pas en quoi elle l'aurait autorisé à disposer des montants qui lui avaient été remis par F.________ à l'intention de l'intimée. Insuffisamment motivée ( art. 42 al. 2 LTF ), son argumentation est irrecevable.</w:t>
      </w:r>
    </w:p>
    <w:p>
      <w:r>
        <w:rPr>
          <w:b/>
        </w:rPr>
        <w:t>E. 2.4</w:t>
      </w:r>
    </w:p>
    <w:p>
      <w:r>
        <w:t>Le recourant reproche à la cour cantonale d'avoir violé la présomption d'innocence, en confirmant le verdict de culpabilité du jugement de première instance, sans établir préalablement le droit applicable aux relations contractuelles entre les parties, respectivement en faisant application à tort du droit suisse. Comme vu ci-dessus, l'argumentation du recourant est insuffisamment motivée et, partant, irrecevable.</w:t>
      </w:r>
    </w:p>
    <w:p>
      <w:r>
        <w:rPr>
          <w:b/>
        </w:rPr>
        <w:t>E. 3</w:t>
      </w:r>
    </w:p>
    <w:p>
      <w:r>
        <w:t>Dénonçant une violation de l' art. 398 al. 5 CPP , le recourant soutient que la cour cantonale aurait dû déclarer irrecevable la déclaration d'appel déposée par l'intimée, dans la mesure où cette déclaration portait exclusivement sur les conclusions civiles et que le juge de première instance avait renvoyé l'intimée à agir devant le juge civil.</w:t>
      </w:r>
    </w:p>
    <w:p>
      <w:r>
        <w:rPr>
          <w:b/>
        </w:rPr>
        <w:t>E. 3.1</w:t>
      </w:r>
    </w:p>
    <w:p>
      <w:r>
        <w:t>L' art. 398 al. 5 CPP est sans portée ici dès lors que le recourant avait de son côté également formé un appel pour contester la culpabilité retenue en première instance (cf. LUZIUS EUGSTER, in Basler Kommentar, Schweizerische Strafprozessordnung, 2e éd. 2014, n° 4</w:t>
      </w:r>
    </w:p>
    <w:p>
      <w:r>
        <w:t>in fine ad art. 398 CPP ). Quoi qu'il en soit, la valeur litigieuse de 10'000 fr. étant largement dépassée (cf. art. 308 al. 2 CPC ), l'intimée était habilitée à former un appel pour obtenir l'entier des prétentions civiles articulées en première instance, à l'égard desquelles le tribunal correctionnel l'avait renvoyée à agir au civil.</w:t>
      </w:r>
    </w:p>
    <w:p>
      <w:r>
        <w:rPr>
          <w:b/>
        </w:rPr>
        <w:t>E. 3.2</w:t>
      </w:r>
    </w:p>
    <w:p>
      <w:r>
        <w:t>Le recourant dénonce une violation des dispositions de la LDIP en relation avec les conclusions civiles, reprochant à la cour cantonale de ne pas avoir appliqué le droit anglais. En effet, selon l' art. 133 al. 3 LDIP , lorsqu'un acte illicite viole un rapport juridique existant entre auteur et lésé, les prétentions fondées sur cet acte sont régies par le droit applicable à ce rapport juridique. Or, pour le recourant, les parties sont liées par un rapport contractuel préexistant soumis au droit anglais. Il se réfère à cet égard à nouveau aux "titres" n° s 5 et 7, produits à l'appui de son mémoire de recours, à savoir la</w:t>
      </w:r>
    </w:p>
    <w:p>
      <w:r>
        <w:t>letter of intent du 12 mai 2016 et au jugement de première instance. Il ne précise toutefois pas en quoi ce document serait pertinent à l'égard des faits pour lesquels l'abus de confiance a été retenu et en quoi il devrait influer sur les prétentions civiles de l'intimée. Les conclusions civiles ont en l'occurrence été allouées en considération de l'acte illicite constitué par l'abus de confiance sans considération des relations contractuelles (cf. jugement attaqué, p. 27). Insuffisamment motivée (cf. art. 42 al. 2 LTF ), l'argumentation du recourant est irrecevable.</w:t>
      </w:r>
    </w:p>
    <w:p>
      <w:r>
        <w:rPr>
          <w:b/>
        </w:rPr>
        <w:t>E. 4</w:t>
      </w:r>
    </w:p>
    <w:p>
      <w:r>
        <w:t>Le recours doit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