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6B_595/2014 vom 13. Mai 2015</w:t>
      </w:r>
    </w:p>
    <w:p>
      <w:r>
        <w:t>Bundesgericht, 2015-05-13, FR</w:t>
      </w:r>
    </w:p>
    <w:p>
      <w:r>
        <w:rPr>
          <w:b/>
        </w:rPr>
        <w:t xml:space="preserve">Quelle: </w:t>
      </w:r>
      <w:r>
        <w:t>https://mcp.opencaselaw.ch/entscheid/bger_6B_595_2014</w:t>
      </w:r>
    </w:p>
    <w:p>
      <w:r>
        <w:t>FR: TF 6B_595/2014 du 13 mai 2015</w:t>
      </w:r>
    </w:p>
    <w:p>
      <w:r>
        <w:t>IT: TF 6B_595/2014 del 13 maggio 2015</w:t>
      </w:r>
    </w:p>
    <w:p>
      <w:pPr>
        <w:pStyle w:val="Heading2"/>
      </w:pPr>
      <w:r>
        <w:t>Erwägungen</w:t>
      </w:r>
    </w:p>
    <w:p>
      <w:r>
        <w:rPr>
          <w:b/>
        </w:rPr>
        <w:t>E. 1</w:t>
      </w:r>
    </w:p>
    <w:p>
      <w:r>
        <w:t>La décision attaquée a été rendue en matière pénale et la recourante dispose de la qualité pour recourir (cf. arrêt 6B_1035/2008 du 11 mai 2009 consid. 1.1 et 1.4). Le recours en matière pénale est ainsi ouvert.</w:t>
      </w:r>
    </w:p>
    <w:p>
      <w:r>
        <w:t>En vertu de l' art. 42 al. 1 LTF , les mémoires de recours doivent être motivés. Conformément à l' art. 42 al. 2 LTF , les motifs doivent exposer succinctement en quoi l'acte attaqué viole le droit. Pour satisfaire à cette exigence, il appartient à la recourante de discuter au moins brièvement les considérants de la décision litigieuse ( ATF 134 II 244 consid. 2.1 p. 245). En outre, si elle entend se plaindre de la violation de ses droits fondamentaux, la recourante doit respecter le principe d'allégation et indiquer précisément quelle disposition constitutionnelle a été violée en démontrant par une argumentation précise en quoi consiste la violation ( art. 106 al. 2 LTF ; ATF 138 V 67 consid. 2.2 p. 69).</w:t>
      </w:r>
    </w:p>
    <w:p>
      <w:r>
        <w:rPr>
          <w:b/>
        </w:rPr>
        <w:t>E. 2.1</w:t>
      </w:r>
    </w:p>
    <w:p>
      <w:r>
        <w:t>La recourante soutient que la cour cantonale n'a pas établi qu'un crime préalable aurait été commis à l'étranger. Elle y voit d'une part une violation de l'interdiction de l'arbitraire dans l'établissement des faits et d'autre part une violation des art. 305</w:t>
      </w:r>
    </w:p>
    <w:p>
      <w:r>
        <w:t>bis et 70 CP .</w:t>
      </w:r>
    </w:p>
    <w:p>
      <w:r>
        <w:rPr>
          <w:b/>
        </w:rPr>
        <w:t>E. 2.2</w:t>
      </w:r>
    </w:p>
    <w:p>
      <w:r>
        <w:t>La prévention de blanchiment d'argent au sens de l'art. 305</w:t>
      </w:r>
    </w:p>
    <w:p>
      <w:r>
        <w:t>bis CP ayant été abandonnée, seule demeure litigieuse la question de la confiscation en application de l' art. 70 CP . C'est donc uniquement au regard de cette disposition que doit être examiné le grief de la recourante.</w:t>
      </w:r>
    </w:p>
    <w:p>
      <w:r>
        <w:t>L' art. 70 al. 1 CP permet notamment au juge de confisquer des valeurs patrimoniales qui sont le résultat d'une infraction.</w:t>
      </w:r>
    </w:p>
    <w:p>
      <w:r>
        <w:rPr>
          <w:b/>
        </w:rPr>
        <w:t>E. 2.3</w:t>
      </w:r>
    </w:p>
    <w:p>
      <w:r>
        <w:t>Il ressort de l'arrêt attaqué qu'en juillet 2003, A.________ a eu un entretien avec son gestionnaire de compte à l'agence de Curaçao de Y.________. A cette occasion, il a informé que, ne parlant ni ne comprenant l'anglais, il souhaitait recevoir la correspondance en espagnol et ne voulait par ailleurs pas de contact par téléphone.</w:t>
      </w:r>
    </w:p>
    <w:p>
      <w:r>
        <w:t>Entre le 24 février 2004 et fin avril de la même année, la banque a reçu plusieurs ordres de virement émanant en apparence de A.________. Le premier, portant sur un montant de 397'000 USD, n'a pas été exécuté d'une part parce que la signature ne correspondait pas à celle du titulaire du compte telle qu'elle était connue de la banque et d'autre part parce que le solde n'était pas suffisant. A la fin février 2004, un homme prétendant être A.________ s'est entretenu par téléphone, en espagnol puis en anglais, avec un gestionnaire de compte. Celui-ci, après avoir demandé le solde du compte à son interlocuteur, qui a cité les quatre premiers chiffres, lui a indiqué la marche à suivre pour clore le compte à terme avant échéance. Quelques jours plus tard, la banque a reçu un nouvel ordre de virement de 397'000 USD. A nouveau, la signature ne correspondait pas à celle du client et le solde était insuffisant, de sorte que l'employé de la banque a appelé le numéro de téléphone indiqué dans l'ordre de virement. Il a signalé à la personne qui lui a répondu que la signature figurant sur son message ne correspondait pas au modèle en possession de la banque, ce que l'interlocuteur a expliqué par le fait que celui-ci était fort ancien. Il a alors été convenu que le prétendu titulaire du compte irait faire authentifier son identité et sa signature auprès d'un notaire. Le 4 mars 2004, la banque a reçu un message télécopié auquel étaient jointes des pièces authentifiant la signature de A.________. L'original a suivi par courrier en date du 8 mars 2004. Estimant que l'identité du client était ainsi établie, la banque a exécuté l'ordre. Dans les semaines suivantes, deux ordres de débit de 475'000 USD, respectivement 207'000 USD, ont été exécutés, après les contrôles d'usage, la signature ayant été identifiée récemment.</w:t>
      </w:r>
    </w:p>
    <w:p>
      <w:r>
        <w:t>Le 28 avril 2004, A.________ s'est présenté personnellement à l'agence de Curaçao de Y.________. Il a expliqué n'avoir donné aucun de ces ordres. Les recherches auxquelles la banque a alors procédé ont révélé que l'acte notarié était un faux. Le notaire censé l'avoir instrumenté a déclaré ne rien savoir à ce propos; il a relevé qu'avaient été apposés sur l'acte d'anciens cachets de l'étude et que par ailleurs l'acte n'avait pas été repris dans les registres publics comme il aurait dû l'être. Enfin, les pièces d'identité qui avaient été présentées, savoir un passeport américain et une carte d'identité vénézuélienne au nom de A.________, étaient également des faux.</w:t>
      </w:r>
    </w:p>
    <w:p>
      <w:r>
        <w:rPr>
          <w:b/>
        </w:rPr>
        <w:t>E. 2.4</w:t>
      </w:r>
    </w:p>
    <w:p>
      <w:r>
        <w:t>La recourante soutient que c'est de manière arbitraire que la cour cantonale a admis qu'un crime aurait été commis à l'étranger et que l'arrêt attaqué passe sous silence le fait que les seuls éléments sur lesquels elle se fonde sont les pièces et déclarations fournies par Y.________.</w:t>
      </w:r>
    </w:p>
    <w:p>
      <w:r>
        <w:t>La recourante ne montre toutefois pas, par une argumentation satisfaisant aux exigences de motivation de l' art. 106 al. 2 LTF , que c'est de manière arbitraire que la cour cantonale a constaté que les transferts de fonds litigieux ont été effectués après que le prétendu titulaire du compte a produit un acte notarié falsifié en vue d'établir son identité et qu'il a produit des pièces d'identité également falsifiées. Il y a donc lieu de considérer que les sommes confisquées ont été débitées du compte de A.________ à la suite de l'utilisation de titres falsifiés, permettant ainsi de générer un avantage illicite. Sur cette base, la cour cantonale pouvait admettre la commission d'une infraction à l'étranger. C'est sans violer le droit fédéral qu'elle a retenu que les virements en cause avaient été déterminés par des procédés frauduleux qui, en Suisse, tomberaient sous le coup du faux dans les titres. Il a par ailleurs déjà été jugé que lorsque les valeurs patrimoniales obtenues constituent, comme en l'espèce, un avantage direct découlant de l'usage du faux le lien de causalité entre l'infraction et lesdites valeurs exigé par l' art. 70 CP pour qu'une confiscation puisse être ordonnée est donné (voir arrêt 6S. 819/1998 du 4 mai 1999 consid. 2a, in SJ 1999 I p. 419 s.). Il n'est dès lors pas nécessaire d'examiner s'il est établi que les conditions de l'escroquerie sont également réalisées.</w:t>
      </w:r>
    </w:p>
    <w:p>
      <w:r>
        <w:rPr>
          <w:b/>
        </w:rPr>
        <w:t>E. 2.5</w:t>
      </w:r>
    </w:p>
    <w:p>
      <w:r>
        <w:t>La recourante soutient que la cour cantonale a renversé le fardeau de la preuve en admettant, malgré ses explications, qu'elle n'avait pas fourni de contre-prestation adéquate.</w:t>
      </w:r>
    </w:p>
    <w:p>
      <w:r>
        <w:t>Conformément à l' art. 70 al. 2 CP , la confiscation ne sera pas prononcée lorsqu'un tiers a acquis les valeurs dans l'ignorance des faits qui l'auraient justifiée, et cela dans la mesure où il a fourni une contre-prestation adéquate ou si la confiscation se révèle d'une rigueur excessive. La cour cantonale n'a pas méconnu que la preuve de la contre-prestation adéquate au sens de cette disposition incombe en principe à l'accusation mais que le tiers qui se prévaut d'une telle contre-prestation doit collaborer à l'établissement des faits sur ce point et, en particulier, fournir les explications nécessaires, faute de quoi il peut être amené à subir les conséquences de l'absence d'éléments probants ( HIRSIG-VOUILLOZ, Commentaire romand, Code pénal I, n° 38 ad art. 70 CP ; PONCET/MACALUSO, Confiscation, restitution et allocation de valeurs patrimoniales: quelques considérations de procédure pénale, in SJ 2001 II pp. 221 ss, 233).</w:t>
      </w:r>
    </w:p>
    <w:p>
      <w:r>
        <w:t>Dans l'arrêt 1B_312/2010, rendu le 8 décembre 2010 dans la présente cause, le Tribunal fédéral a déjà relevé que la recourante prétendait avoir versé, en reals brésiliens, dans le cadre d'opérations de change, une somme correspondant aux versements parvenus sur son compte, mais qu'elle se limitait toutefois à de simples affirmations, à l'appui desquelles elle ne produisait aucun document, se contentant d'expliquer avoir agi à des fins fiscales, sur une base de confiance mutuelle. Il s'étonnait qu'il n'existe pas la moindre trace, à tout le moins sous la forme d'un document comptable, susceptible d'attester une opération portant sur un transfert à l'étranger d'un montant total équivalant à 660'000 USD. Le Tribunal fédéral en a conclu que la recourante ne pouvait prétendre avoir suffisamment collaboré à l'établissement des faits sur ce point et que c'était à juste titre que la cour cantonale avait estimé que la preuve d'une contre-prestation adéquate n'avait pas été rapportée.</w:t>
      </w:r>
    </w:p>
    <w:p>
      <w:r>
        <w:t>La recourante soutient avoir fourni les explications qui pouvaient légitimement être attendues d'elle. Elle persiste toutefois à se prévaloir d'affirmations de son représentant légal et de courriers explicatifs de son mandataire, sans les étayer par aucun document propre à établir l'existence de la contre-prestation prétendument fournie, de sorte que les considérations du Tribunal fédéral à l'appui de son arrêt 1B_312/2010 du 8 décembre 2010 demeurent tout à fait pertinentes. C'est donc à nouveau sans arbitraire que la cour cantonale n'a pas admis que la recourante aurait fourni une contre-prestation adéquate.</w:t>
      </w:r>
    </w:p>
    <w:p>
      <w:r>
        <w:rPr>
          <w:b/>
        </w:rPr>
        <w:t>E. 3</w:t>
      </w:r>
    </w:p>
    <w:p>
      <w:r>
        <w:t>La recourante soutient par ailleurs que le droit de confisquer serait prescrit. Elle qualifie d'arbitraire l'interprétation faite par la cour cantonale du courriel du 4 juin 2013 du ministère public de Curaçao, à l'issue de laquelle elle a considéré que l'infraction préalable commise à l'étranger n'était pas prescrite selon le droit applicable au lieu de commission.</w:t>
      </w:r>
    </w:p>
    <w:p>
      <w:r>
        <w:rPr>
          <w:b/>
        </w:rPr>
        <w:t>E. 3.1</w:t>
      </w:r>
    </w:p>
    <w:p>
      <w:r>
        <w:t>En vertu de l' art. 70 al. 3 CP , le droit d'ordonner la confiscation de valeurs se prescrit par sept ans, à moins que la poursuite de l'infraction en cause ne soit soumise à une prescription d'une durée plus longue; celle-ci est alors applicable. Lorsque les valeurs patrimoniales sujettes à confiscation résultent d'infractions principales commises à l'étranger, la prescription du droit de confisquer se détermine selon le droit du pays où l'infraction principale a été commise ( ATF 126 IV 255 consid. 3b/bb et 4c).</w:t>
      </w:r>
    </w:p>
    <w:p>
      <w:r>
        <w:rPr>
          <w:b/>
        </w:rPr>
        <w:t>E. 3.2</w:t>
      </w:r>
    </w:p>
    <w:p>
      <w:r>
        <w:t>Le recours en matière pénale ne peut être formé, au sens de l' art. 95 LTF , que pour violation du droit suisse à l'exclusion du droit étranger (arrêts 6B_834/2011 du 11 janvier 2013 consid. 2.4; 6B_901/2009 du 3 novembre 2010 consid. 2.3.1). L' art. 96 LTF prévoit des exceptions où le droit étranger peut faire l'objet d'un recours. Celles-ci n'ont cependant aucune portée en matière pénale (arrêt 6B_235/2013 du 22 juillet 2013 consid. 1.2). Dans le cadre d'un recours en matière pénale, la cour de céans ne revoit ainsi pas librement l'application du droit étranger. La recourante peut uniquement se plaindre d'arbitraire dans l'application de ce droit, grief qui doit être invoqué et motivé de manière précise ( art. 106 al. 2 LTF ). Les critiques de nature appellatoire sont irrecevables ( ATF 140 III 264 consid. 2.3 p. 266).</w:t>
      </w:r>
    </w:p>
    <w:p>
      <w:r>
        <w:rPr>
          <w:b/>
        </w:rPr>
        <w:t>E. 3.3</w:t>
      </w:r>
    </w:p>
    <w:p>
      <w:r>
        <w:t>La recourante ne démontre pas dans son mémoire une application arbitraire du droit étranger mais se limite à des affirmations appellatoires, partant irrecevables. La cour cantonale a relevé que les infractions d'escroquerie et de faux dans les titres n'étaient pas prescrites selon le droit suisse. Elle a déduit du courriel du 4 juin 2013 par lequel le ministère public de Curaçao indiquait à quelles conditions d'autres actes d'enquête pourraient être menés que l'action pénale n'était pas prescrite à Curaçao, car sinon l'extinction de l'action publique à raison de l'écoulement du temps aurait fait l'objet d'une communication expresse (cf. arrêt attaqué, p. 15). La déduction de la cour cantonale n'est pas manifestement insoutenable.</w:t>
      </w:r>
    </w:p>
    <w:p>
      <w:r>
        <w:rPr>
          <w:b/>
        </w:rPr>
        <w:t>E. 4</w:t>
      </w:r>
    </w:p>
    <w:p>
      <w:r>
        <w:t>Le recours doit être rejeté dans la mesure où il est recevable et la recourante,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