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594/2025 vom 4. August 2025</w:t>
      </w:r>
    </w:p>
    <w:p>
      <w:r>
        <w:t>Bundesgericht, 2025-08-04, DE</w:t>
      </w:r>
    </w:p>
    <w:p>
      <w:r>
        <w:rPr>
          <w:b/>
        </w:rPr>
        <w:t xml:space="preserve">Quelle: </w:t>
      </w:r>
      <w:r>
        <w:t>https://mcp.opencaselaw.ch/entscheid/bger_6B_594_2025</w:t>
      </w:r>
    </w:p>
    <w:p>
      <w:r>
        <w:t>FR: TF 6B 594/2025 du 4 août 2025</w:t>
      </w:r>
    </w:p>
    <w:p>
      <w:r>
        <w:t>IT: TF 6B 594/2025 del 4 agosto 2025</w:t>
      </w:r>
    </w:p>
    <w:p>
      <w:pPr>
        <w:pStyle w:val="Heading2"/>
      </w:pPr>
      <w:r>
        <w:t>Regeste</w:t>
      </w:r>
    </w:p>
    <w:p>
      <w:r>
        <w:t>Verletzung der Verkehrsregeln; Nichteintreten | Straftaten</w:t>
      </w:r>
    </w:p>
    <w:p>
      <w:pPr>
        <w:pStyle w:val="Heading2"/>
      </w:pPr>
      <w:r>
        <w:t>Erwägungen</w:t>
      </w:r>
    </w:p>
    <w:p>
      <w:r>
        <w:rPr>
          <w:b/>
        </w:rPr>
        <w:t>E. 1</w:t>
      </w:r>
    </w:p>
    <w:p>
      <w:r>
        <w:t>Am 16. Oktober 2024 überwies die Staatsanwaltschaft dem Regionalgericht Viamala einen Strafbefehl, wonach das auf die Beschwerdeführerin eingelöste Fahrzeug ZH xxxxxxx am 10. Mai 2024 auf der Nationalstrasse N13 die zulässige Höchstgeschwindigkeit von 100 km/h um 17 km/h überschritten habe. Das Regionalgericht Viamala verurteilte die Beschwerdeführerin als Fahrzeughalterin wegen einfacher Verkehrsregelverletzung und büsste sie mit Fr. 180.--. Dagegen legte die Beschwerdeführerin Berufung ein. Unter Hinweis auf das zur Publikation bestimmte Urteil 7B_545/2023 vom 16. Dezember 2024 verpflichtete das Obergericht des Kantons Graubünden die Beschwerdeführerin als Fahrzeughalterin am 3. Juni 2025 zur Zahlung einer Busse von Fr. 180.--. Zudem regelte es die Kostenfolgen. Die Beschwerdeführerin wendet sich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Diesen Anforderungen genügt die Beschwerde nicht ansatzweise. Die Beschwerdeführerin müsste anhand der Erwägungen des angefochtenen Entscheids darlegen, inwiefern dieser willkürlich oder sonst wie verfassungs- und/oder bundesrechtswidrig sein könnte. Eine solche Darlegung fehlt vollständig; dies gilt insbesondere auch insofern, als in der Beschwerde pauschal das Fehlen von Messprotokoll, Logbuch und Messgerät behauptet und zudem ausgeführt wird, die Schreiben der mit der Sache befassten Behörden belegten "den Tatbestand von Defekten" bis hin "zum Verdacht von Willkür". Im Ergebnis stellt die Beschwerde Ausdruck der Weltanschauung der Beschwerdeführerin dar, wonach das Obergericht, das Regionalgericht und die Kantonspolizei von Graubünden nicht über hoheitliche Legitimität verfügten (z.B. es bestünden "Zweifel an der Legitimation des Regionalgerichts", "dass es sich um eine private Firma unter US Herrschaft handle"; der Einzelrichter des Regionalgerichts stehe im dringenden Verdacht, nicht über eine belegbare Prokura zu verfügen; das Regionalgericht stehe im Verdacht, keine hoheitlichen Befugnisse zu haben; die Kantonspolizei Graubünden sei im privaten UID Register eingetragen samt MWST Nummer; eine amtliche Messung könne nur durch Beamte ausgeführt werden; es wäre der Beamtenstatus zu klären; es gälten die "AGBs", die akzeptiert worden seien; das Urteil sei als Entwurf zu werten, "da dieser wie auch selbige vom Regionalgericht 1x gefaltet und getackert und somit entwertet sind"; es liege ein Haftungsproblem vor, weshalb die hoheitlichen Rechte der Kantonspolizei, des Regionalgerichts und des Obergerichts des Kantons Graubünden mit "den erforderlichen Bestallungsurkunden" zu belegen seien etc.). Die querulatorisch anmutende Beschwerde genügt den Begründungsanforderungen gemäss Art. 42 Abs. 2 und Art. 106 Abs. 2 BGG offensichtlich nicht, weshalb darauf im Verfahren nach Art. 108 BGG nicht einzutreten ist.</w:t>
      </w:r>
    </w:p>
    <w:p>
      <w:r>
        <w:rPr>
          <w:b/>
        </w:rPr>
        <w:t>E. 4</w:t>
      </w:r>
    </w:p>
    <w:p>
      <w:r>
        <w:t>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