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594/2017 vom 22. Mai 2017</w:t>
      </w:r>
    </w:p>
    <w:p>
      <w:r>
        <w:t>Bundesgericht, 2017-05-22, DE</w:t>
      </w:r>
    </w:p>
    <w:p>
      <w:r>
        <w:rPr>
          <w:b/>
        </w:rPr>
        <w:t xml:space="preserve">Quelle: </w:t>
      </w:r>
      <w:r>
        <w:t>https://mcp.opencaselaw.ch/entscheid/bger_6B_594_2017</w:t>
      </w:r>
    </w:p>
    <w:p>
      <w:r>
        <w:t>FR: TF 6B 594/2017 du 22 mai 2017</w:t>
      </w:r>
    </w:p>
    <w:p>
      <w:r>
        <w:t>IT: TF 6B 594/2017 del 22 maggio 2017</w:t>
      </w:r>
    </w:p>
    <w:p>
      <w:pPr>
        <w:pStyle w:val="Heading2"/>
      </w:pPr>
      <w:r>
        <w:t>Regeste</w:t>
      </w:r>
    </w:p>
    <w:p>
      <w:r>
        <w:t>Widerhandlung gegen das Strassenverkehrsgesetz | Straftaten</w:t>
      </w:r>
    </w:p>
    <w:p>
      <w:pPr>
        <w:pStyle w:val="Heading2"/>
      </w:pPr>
      <w:r>
        <w:t>Erwägungen</w:t>
      </w:r>
    </w:p>
    <w:p>
      <w:r>
        <w:rPr>
          <w:b/>
        </w:rPr>
        <w:t>E. 1</w:t>
      </w:r>
    </w:p>
    <w:p>
      <w:r>
        <w:t>Der Strafbefehl der Staatsanwaltschaft des Kantons Bern, Region Bern Mittelland, vom 10. Mai 2017 ist nicht letztinstanzlich. Auf die dagegen gerichtete sinngemässe Beschwerde vom 16. Mai 2017 ist in Anwendung von Art. 80 Abs. 1 BGG und im Verfahren nach Art. 108 BGG nicht einzutreten. Zugleich ist die Sache gestützt auf Art. 30 Abs. 2 BGG zuständigkeitshalber an die Staatsanwaltschaft des Kantons Bern zu überweisen.</w:t>
      </w:r>
    </w:p>
    <w:p>
      <w:r>
        <w:rPr>
          <w:b/>
        </w:rPr>
        <w:t>E. 2</w:t>
      </w:r>
    </w:p>
    <w:p>
      <w:r>
        <w:t>Auf eine Kostenauflage ist ausnahmsweise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