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6B_592/2025 vom 5. August 2025</w:t>
      </w:r>
    </w:p>
    <w:p>
      <w:r>
        <w:t>Bundesgericht, 2025-08-05, DE</w:t>
      </w:r>
    </w:p>
    <w:p>
      <w:r>
        <w:rPr>
          <w:b/>
        </w:rPr>
        <w:t xml:space="preserve">Quelle: </w:t>
      </w:r>
      <w:r>
        <w:t>https://mcp.opencaselaw.ch/entscheid/bger_6B_592_2025</w:t>
      </w:r>
    </w:p>
    <w:p>
      <w:r>
        <w:t>FR: TF 6B_592/2025 du 5 août 2025</w:t>
      </w:r>
    </w:p>
    <w:p>
      <w:r>
        <w:t>IT: TF 6B_592/2025 del 5 agosto 2025</w:t>
      </w:r>
    </w:p>
    <w:p>
      <w:pPr>
        <w:pStyle w:val="Heading2"/>
      </w:pPr>
      <w:r>
        <w:t>Erwägungen</w:t>
      </w:r>
    </w:p>
    <w:p>
      <w:r>
        <w:rPr>
          <w:b/>
        </w:rPr>
        <w:t>E. 1</w:t>
      </w:r>
    </w:p>
    <w:p>
      <w:r>
        <w:t>Die Staatsanwaltschaft des Kantons Schwyz büsste den Beschwerdeführer mit Strafbefehl vom 17. September 2024 wegen Verletzung der An- oder Abmeldepflichten kostenfällig mit Fr. 100.--. Nachdem der Beschwerdeführer dagegen Einsprache erhoben hatte, hielt die Staatsanwaltschaft am Strafbefehl fest und überwies die Akten an das Bezirksgericht Küssnacht zur Durchführung der Hauptverhandlung. In der Folge stellte der Einzelrichter des Bezirksgerichts zufolge Nichterscheinens des Beschwerdeführers an der Hauptverhandlung mit Verfügung vom 15. Mai 2025 fest, dass dessen Einsprache als zurückgezogen gelte und der Strafbefehl vom 17. September 2024 in Rechtskraft erwachsen sei. Auf die dagegen eingereichte Beschwerde trat das Kantonsgericht Schwyz am 3. Juni 2025 mangels hinreichender Begründung ( Art. 396 Abs. 1 und Art. 385 Abs. 1 StPO ) nicht ein. Der Beschwerdeführer wendet sich an das Bundesgericht.</w:t>
      </w:r>
    </w:p>
    <w:p>
      <w:r>
        <w:rPr>
          <w:b/>
        </w:rPr>
        <w:t>E. 2</w:t>
      </w:r>
    </w:p>
    <w:p>
      <w:r>
        <w:t>Gemäss Art. 42 Abs. 1 BGG haben Rechtsschriften ein Begehren und deren Begründung zu enthalten. 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Recht nicht eingetreten ist. Die Eingabe des Beschwerdeführers vom 28. Juni 2025 entspricht den gesetzlichen Begründungsanforderungen gemäss Art. 42 Abs. 1 und 2 BGG nicht ansatzweise. Sie enthält kein Begehren im Sinne von Art. 42 Abs. 1 BGG und auch sonst keine sachbezogene Begründung (vgl. zu den Beschwerdegründen Art. 95 ff. BGG ). Aus diesem Grund wurde der Beschwerdeführer mit Schreiben vom 2. Juli 2025 unter Hinweis auf die einschlägigen Gesetzesbestimmungen auf die Begründungsanforderungen einer Beschwerde an das Bundesgericht aufmerksam gemacht und dahingehend informiert, die Beschwerde bis zum Ablauf der Beschwerdefrist ergänzen zu können. Ebenso wurde dem Beschwerdeführer mitgeteilt, dass das Verfahren vor Bundesgericht grundsätzlich schriftlich sei und kein Anspruch auf eine öffentliche bzw. mündliche Verhandlung bestehe (act. 5). Der Beschwerdeführer reagierte darauf nicht. Auf die Beschwerde ist im Verfahren nach Art. 108 BGG mangels einer tauglichen Begründung nicht einzutreten.</w:t>
      </w:r>
    </w:p>
    <w:p>
      <w:r>
        <w:rPr>
          <w:b/>
        </w:rPr>
        <w:t>E. 4</w:t>
      </w:r>
    </w:p>
    <w:p>
      <w:r>
        <w:t>Ausnahmsweise ist von einer Kostenauflage abzusehen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