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592/2022 vom 12. Januar 2024</w:t>
      </w:r>
    </w:p>
    <w:p>
      <w:r>
        <w:t>Bundesgericht, 2024-01-12, DE</w:t>
      </w:r>
    </w:p>
    <w:p>
      <w:r>
        <w:rPr>
          <w:b/>
        </w:rPr>
        <w:t xml:space="preserve">Quelle: </w:t>
      </w:r>
      <w:r>
        <w:t>https://mcp.opencaselaw.ch/entscheid/bger_6B_592_2022</w:t>
      </w:r>
    </w:p>
    <w:p>
      <w:r>
        <w:t>FR: TF 6B 592/2022 du 12 janvier 2024</w:t>
      </w:r>
    </w:p>
    <w:p>
      <w:r>
        <w:t>IT: TF 6B 592/2022 del 12 gennaio 2024</w:t>
      </w:r>
    </w:p>
    <w:p>
      <w:pPr>
        <w:pStyle w:val="Heading2"/>
      </w:pPr>
      <w:r>
        <w:t>Regeste</w:t>
      </w:r>
    </w:p>
    <w:p>
      <w:r>
        <w:t>Verfahrenskosten, Parteientschädigung; Willkür, rechtliches Gehör | Strafprozess</w:t>
      </w:r>
    </w:p>
    <w:p>
      <w:pPr>
        <w:pStyle w:val="Heading2"/>
      </w:pPr>
      <w:r>
        <w:t>Erwägungen</w:t>
      </w:r>
    </w:p>
    <w:p>
      <w:r>
        <w:rPr>
          <w:b/>
        </w:rPr>
        <w:t>E. 1.1</w:t>
      </w:r>
    </w:p>
    <w:p>
      <w:r>
        <w:t>Die Beschwerdeführer monieren eine Verletzung von Art. 426 Abs. 2 StPO , Art. 429 Abs. 1 lit. a und b und Art. 433 Abs. 2 StPO . Zudem rügen sie die Sachverhaltsfeststellung als offensichtlich unrichtig. Des Weiteren sei ihr Anspruch auf rechtliches Gehör verletzt, indem die Vorinstanz sie trotz Freispruch nicht zu den auferlegten Kosten- sowie Entschädigungsfolgen angehört habe.</w:t>
      </w:r>
    </w:p>
    <w:p>
      <w:r>
        <w:rPr>
          <w:b/>
        </w:rPr>
        <w:t>E. 1.2.1</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Die Privatklägerschaft hat gegenüber der beschuldigten Person Anspruch auf angemessene Entschädigung für notwendige Aufwendungen im Verfahren, wenn sie obsiegt ( Art. 433 Abs. 1 lit. a StPO ) oder die beschuldigte Person nach Art. 426 Abs. 2 StPO kostenpflichtig ist ( Art. 433 Abs. 1 lit. b StPO ). Der Kostenentscheid präjudiziert die Entschädigungsfrage ( BGE 147 IV 47 E. 4.1).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beschuldigten Person ist widerrechtlich, wenn es klar gegen Normen der Rechtsordnung verstösst, wobei jedoch nicht jedes vertrags-, sitten- ( Art. 20 OR ) oder treuwidrige Verhalten ( Art. 2 ZGB ) eine Kostenauflage rechtfertigt. Vorausgesetzt sind grundsätzlich qualifiziert rechtswidrige und rechtsgenüglich nachgewiesene Verstösse. Die Verfahrenskosten müssen zudem mit dem zivilrechtlich vorwerfbaren Verhalten in einem adäquat-kausalen Zusammenhang stehen. Eine Kostenauflage kommt nur in Betracht, wenn sich die Behörde aufgrund des normwidrigen Verhaltens der beschuldigten Person in Ausübung pflichtgemässen Ermessens zur Einleitung eines Strafverfahrens veranlasst sehen konnte, hingegen nicht, wenn sie aus Übereifer, aufgrund unrichtiger Beurteilung der Rechtslage oder vorschnell eine Strafuntersuchung eingeleitet hat. Die Überbindung von Verfahrenskosten an die beschuldigte Person bei Freispruch oder Einstellung des Verfahrens hat Ausnahmecharakter ( BGE 144 IV 202 E. 2.2; Urteil 6B_1347/2019 vom 11. August 2020 E. 3.2; je mit Hinweisen).</w:t>
      </w:r>
    </w:p>
    <w:p>
      <w:r>
        <w:rPr>
          <w:b/>
        </w:rPr>
        <w:t>E. 1.2.2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1.2.3</w:t>
      </w:r>
    </w:p>
    <w:p>
      <w:r>
        <w:t>Zum Anspruch auf rechtliches Gehör ( Art. 3 Abs. 2 lit. c und Art. 107 Abs. 1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1.3</w:t>
      </w:r>
    </w:p>
    <w:p>
      <w:r>
        <w:t>Die Vorinstanz erachtet den Tatbestand der versuchten Nötigung als erfüllt. Jedoch spricht sie die Beschwerdeführer wegen eines durch anwaltliche Beratung verursachten Rechtsirrtums frei. Die Kosten des Berufungsverfahrens auferlegt sie infolge Obsiegens der Beschwerdeführer vor der Vorinstanz dem Staat Wallis. Hingegen auferlegt sie den Beschwerdeführern vollumfänglich die Kosten der Untersuchung und jene der Erstinstanz. Sodann spricht die Vorinstanz den Beschwerdegegnern 2 und 3 zu Lasten der Beschwerdeführer eine Parteientschädigung für das gesamte Verfahren in Höhe von Fr. 6'500.-- zu.</w:t>
      </w:r>
    </w:p>
    <w:p>
      <w:r>
        <w:rPr>
          <w:b/>
        </w:rPr>
        <w:t>E. 1.4.1</w:t>
      </w:r>
    </w:p>
    <w:p>
      <w:r>
        <w:t>Der Einwand der Beschwerdeführer betreffend die Verletzung ihres Anspruchs auf rechtliches Gehörs ist unberechtigt. Die Erstinstanz verpflichtete sie zur Bezahlung sowohl der Verfahrenskosten als auch einer Parteientschädigung an die Beschwerdegegner 2 und 3. Gegen das erstinstanzliche Urteil erhoben die Beschwerdeführer Berufung. Die anwaltlich vertretenen Beschwerdeführer konnten sich im Rahmen des Berufungsverfahrens mit mündlicher Berufungsverhandlung ausreichend zu allen Punkten äussern. Insbesondere stand ihnen offen, zu den Kosten- und Entschädigungsfolgen Stellung zu nehmen.</w:t>
      </w:r>
    </w:p>
    <w:p>
      <w:r>
        <w:rPr>
          <w:b/>
        </w:rPr>
        <w:t>E. 1.4.2</w:t>
      </w:r>
    </w:p>
    <w:p>
      <w:r>
        <w:t>Mit Blick auf die nachfolgenden Ausführungen kann offenbleiben, ob sich die Sachverhaltsfeststellung der Vorinstanz, wie von den Beschwerdeführern behauptet, als willkürlich erweist: Die Vorinstanz auferlegt den Beschwerdeführern vollumfänglich die Kosten der Untersuchung sowie der Erstinstanz mit der Begründung, sie hätten in zivilrechtlich vorwerfbarer Art und Weise gehandelt. Ursache des Strafverfahrens sei die Tatsache, dass die Beschwerdeführer mit dem Abstellen der Heizwärme eine höhere Forderung hätten durchsetzen wollen, als ihnen zivilrechtlich tatsächlich zugestanden sei und die auch nur teilweise einen Konnex zur Heizwärme aufgewiesen habe. Der von der Vorinstanz implizit angesprochenen gerichtlichen Durchsetzung einer Zivilforderung ist das Prozessrisiko inhärent, dass nicht exakt, jedenfalls maximal der eingeklagte Betrag zugesprochen wird (vgl. z.B. Art. 58 Abs. 1 und Art. 107 Abs. 1 lit. a ZPO ). Dies stellt für sich alleine kein a priori zivilrechtlich vorwerfbares Verhalten dar. Eine Kostenauflage der Kosten der Untersuchung sowie der Erstinstanz an die Beschwerdeführer lässt sich damit nicht rechtfertigen. Dasselbe gilt in Bezug auf die den Beschwerdeführern zugunsten der Beschwerdegegner 2 und 3auferlegte Parteientschädigung. Anders zu entscheiden hiesse, den Beschwerdeführern genau jenes Verhalten zum Vorwurf zu machen, für welches sie freigesprochen worden sind. Ebenso wenig können den Beschwerdeführern trotz deren Obsiegens Kosten für das Berufungsverfahren auferlegt werden. Nach dem Gesagten setzt sich die Vorinstanz zu Unrecht nicht mit der durch die Beschwerdeführer beantragten Parteientschädigung auseinander.</w:t>
      </w:r>
    </w:p>
    <w:p>
      <w:r>
        <w:rPr>
          <w:b/>
        </w:rPr>
        <w:t>E. 2</w:t>
      </w:r>
    </w:p>
    <w:p>
      <w:r>
        <w:t>Die Beschwerde ist gutzuheissen. Das angefochtene Urteil ist aufzuheben und die Sache zur neuen Entscheidung der Kosten- und Entschädigungsfolgen an die Vorinstanz zurückzuweisen. Den Beschwerdegegnern 2 und 3 wurde im bundesgerichtlichen Verfahren die Möglichkeit zur Vernehmlassung eingeräumt, wobei sie am Verfahren vor dem Bundesgericht teilnahmen. Bei diesem Ausgang des Verfahrens sind den Beschwerdegegnern 2 und 3, die mit ihrem Antrag auf Abweisung der Beschwerde unterliegen, unter solidarischer Haftbarkeit die Gerichtskosten aufzuerlegen ( Art. 66 Abs. 1 und 5 BGG ). Der Kanton Wallis trägt keine Gerichtskosten ( Art. 66 Abs. 4 BGG ). Die Parteientschädigung an die Beschwerdeführer haben der Kanton Wallis einerseits sowie die Beschwerdegegner 2 und 3 andererseits zu gleichen Teilen unter solidarischer Haftung zu tragen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