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6B_592/2020 vom 5. November 2020</w:t>
      </w:r>
    </w:p>
    <w:p>
      <w:r>
        <w:t>Bundesgericht, 2020-11-05, FR</w:t>
      </w:r>
    </w:p>
    <w:p>
      <w:r>
        <w:rPr>
          <w:b/>
        </w:rPr>
        <w:t xml:space="preserve">Quelle: </w:t>
      </w:r>
      <w:r>
        <w:t>https://mcp.opencaselaw.ch/entscheid/bger_6B_592_2020</w:t>
      </w:r>
    </w:p>
    <w:p>
      <w:r>
        <w:t>FR: TF 6B_592/2020 du 5 novembre 2020</w:t>
      </w:r>
    </w:p>
    <w:p>
      <w:r>
        <w:t>IT: TF 6B_592/2020 del 5 novembre 2020</w:t>
      </w:r>
    </w:p>
    <w:p>
      <w:pPr>
        <w:pStyle w:val="Heading2"/>
      </w:pPr>
      <w:r>
        <w:t>Erwägungen</w:t>
      </w:r>
    </w:p>
    <w:p>
      <w:r>
        <w:rPr>
          <w:b/>
        </w:rPr>
        <w:t>E. 1.1</w:t>
      </w:r>
    </w:p>
    <w:p>
      <w:r>
        <w:t>Le recourant soutient en premier lieu que c'est à tort que les attaques commises par C.________ et D.________ ont été considérées comme des brigandages qualifiés au sens de l' art. 140 ch. 2 CP . Il soutient que le pistolet soft air utilisé lors de ces attaques de stations-service ne constitue ni une arme à feu ni une arme dangereuse relevant de cette disposition.</w:t>
      </w:r>
    </w:p>
    <w:p>
      <w:r>
        <w:t>Il ressort du dispositif du jugement attaqué que la cour cantonale a fait application à l'encontre du recourant de l' art. 25 CP en relation avec l' art. 140 ch. 1 et 3 al. 2 CP . Elle n'a donc pas retenu la circonstance aggravante du ch. 2 de cette disposition, qui concerne le cas où l'auteur s'est muni d'une arme à feu ou d'une autre arme dangereuse. Le grief est sans objet dans cette mesure.</w:t>
      </w:r>
    </w:p>
    <w:p>
      <w:r>
        <w:rPr>
          <w:b/>
        </w:rPr>
        <w:t>E. 1.2</w:t>
      </w:r>
    </w:p>
    <w:p>
      <w:r>
        <w:t>Le recourant allègue d'autre part que la problématique de la bande n'est pas motivée, la seule mention à ce propos dans le jugement attaqué étant qu'il " y a lieu de sanctionner les trois brigandages commis en bande par les prévenus... " (recte: le prévenu), à propos de la peine infligée à D.________.</w:t>
      </w:r>
    </w:p>
    <w:p>
      <w:r>
        <w:rPr>
          <w:b/>
        </w:rPr>
        <w:t>E. 1.3</w:t>
      </w:r>
    </w:p>
    <w:p>
      <w:r>
        <w:t>Conformément à l' art. 140 ch. 3 CP , le brigandage est puni d'une peine privative de liberté de deux ans au moins notamment si son auteur l'a commis en qualité d'affilié à une bande formée pour commettre des brigandages ou des vols.</w:t>
      </w:r>
    </w:p>
    <w:p>
      <w:r>
        <w:t>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 ATF 135 IV 158 consid. 2 p. 158; 132 IV 132 consid. 5.2 p. 137). La notion de bande suppose un degré minimum d'organisation (par exemple un partage des rôles et du travail) et une collaboration d'une intensité suffisante pour qu'on puisse parler d'une équipe relativement stable et soudée, même si elle peut être éphémère ( ATF 135 IV 158 consid. 2 p. 158 s.; 132 IV 132 consid. 5.2 p. 137).</w:t>
      </w:r>
    </w:p>
    <w:p>
      <w:r>
        <w:rPr>
          <w:b/>
        </w:rPr>
        <w:t>E. 1.4</w:t>
      </w:r>
    </w:p>
    <w:p>
      <w:r>
        <w:t>Il ressort du jugement attaqué qu'au printemps 2018 C.________ et D.________ se sont associés pour commettre des braquages au préjudice de stations-service et qu'il était convenu que C.________ se rendrait sur les lieux pour commettre les infractions alors que D.________ fournirait l'arme et les vêtements qui seraient utilisés pour les attaques. Il était par ailleurs prévu que les préparatifs seraient effectués dans le galetas du recourant et que l'arme, les vêtements et les butins seraient dissimulés à cet endroit. Le recourant a été avisé au fur et à mesure des plans élaborés et des délits commis.</w:t>
      </w:r>
    </w:p>
    <w:p>
      <w:r>
        <w:t>La volonté des intéressés de commettre plusieurs attaques dirigées contre des stations-service, la répartition des rôles et l'organisation convenue suffisent pour qu'il y ait lieu d'admettre la réalisation de la circonstance aggravante de la bande.</w:t>
      </w:r>
    </w:p>
    <w:p>
      <w:r>
        <w:rPr>
          <w:b/>
        </w:rPr>
        <w:t>E. 2</w:t>
      </w:r>
    </w:p>
    <w:p>
      <w:r>
        <w:t>Le recourant reproche en outre à la cour cantonale d'avoir violé les art. 25 et 140 CP .</w:t>
      </w:r>
    </w:p>
    <w:p>
      <w:r>
        <w:rPr>
          <w:b/>
        </w:rPr>
        <w:t>E. 2.1</w:t>
      </w:r>
    </w:p>
    <w:p>
      <w:r>
        <w:t>Conformément à l' art. 140 CP , se rend coupable de brigandage celui qui aura commis un vol en usant de violence à l'égard d'une personne, en la menaçant d'un danger imminent pour la vie ou l'intégrité corporelle ou en la mettant hors d'état de résister.</w:t>
      </w:r>
    </w:p>
    <w:p>
      <w:r>
        <w:t>La peine est atténuée à l'égard de quiconque a intentionnellement prêté assistance à l'auteur pour commettre un crime ou un délit ( art. 25 CP ).</w:t>
      </w:r>
    </w:p>
    <w:p>
      <w:r>
        <w:t>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p. 52 et les références citées); il n'est toutefois pas nécessaire que l'assistance du complice soit une condition</w:t>
      </w:r>
    </w:p>
    <w:p>
      <w:r>
        <w:t>sine qua non à la réalisation de l'infraction ( ATF 121 IV 109 consid. 3a p. 119). L'assistance prêtée par le complice peut notamment être intellectuelle, ce qui est le cas lorsque celui-ci encourage l'auteur, entretient ou fortifie sa décision de commettre l'infraction ( ATF 79 IV 145 p. 147; arrêt 6B_203/2020 du 8 mai 2020 consid. 2.3).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121 IV 109 consid. 3a p. 120).</w:t>
      </w:r>
    </w:p>
    <w:p>
      <w:r>
        <w:rPr>
          <w:b/>
        </w:rPr>
        <w:t>E. 2.2</w:t>
      </w:r>
    </w:p>
    <w:p>
      <w:r>
        <w:t>La cour cantonale a constaté que le recourant avait consenti à ce que son galetas serve de base arrière pour la commission des brigandages en vue desquels C.________ et D.________ s'étaient associés et que ces derniers avaient besoin de sa collaboration pour s'assurer que le galetas était accessible, les deux portes d'accès à l'immeuble et la porte d'accès au galetas pouvant être fermées. Elle a aussi relevé qu'il avait prêté son téléphone portable à D.________ pour qu'il puisse vérifier les horaires d'ouverture de la station-service dans laquelle il voulait commettre un brigandage, qu'il a donné des conseils opérationnels, notamment en expliquant à C.________ et D.________ les erreurs qu'il avait commises lorsqu'il avait lui-même perpétré deux braquages contre des stations-service.</w:t>
      </w:r>
    </w:p>
    <w:p>
      <w:r>
        <w:t>La cour cantonale a admis que l'intervention du recourant était nécessaire à C.________ et D.________, qui n'auraient pas agi sans son aide.</w:t>
      </w:r>
    </w:p>
    <w:p>
      <w:r>
        <w:rPr>
          <w:b/>
        </w:rPr>
        <w:t>E. 2.3</w:t>
      </w:r>
    </w:p>
    <w:p>
      <w:r>
        <w:t>Le recourant soutient que les portes de l'immeuble et du galetas étaient ouvertes, de sorte qu'il était possible d'accéder à celui-ci sans son intervention, et conteste avoir consenti à ce que son galetas soit utilisé comme base arrière pour la commission des brigandages. Déterminer ce que l'auteur savait ou voulait relève de l'établissement des faits ( ATF 141 IV 336 consid. 2.4.1 p. 342; 137 IV 1 consid. 4.2.3 p. 4), de sorte que le recourant s'en prend sur ce point exclusivement à des constatations de fait de la cour cantonale, qui lient le Tribunal fédéral dès lors qu'elles ne sont pas remises en question au moyen d'une motivation satisfaisant aux exigences de l' art. 106 al. 2 LTF .</w:t>
      </w:r>
    </w:p>
    <w:p>
      <w:r>
        <w:t>Le recourant soutient en outre avoir eu avec C.________ et D.________ de simples discussions concernant ses précédentes expériences en tant que délinquant et il fait valoir que celles-ci ne sauraient constituer une complicité de brigandage.</w:t>
      </w:r>
    </w:p>
    <w:p>
      <w:r>
        <w:t>Il est admis que le recourant a permis à C.________ et D.________ de disposer d'un endroit dans lequel ils ont pu se retrouver, avant et après leurs brigandages, pour se préparer et se répartir le butin ainsi que dissimuler l'arme avec laquelle ils opéraient. Il leur a en outre parlé des expériences qu'il avait faites lors de braquages qu'il avait lui-même effectués. Il les a de la sorte clairement soutenus dans leurs projets et c'est à juste titre que la cour cantonale a considéré que l'aide ainsi fournie était suffisamment importante pour que l'on doive la qualifier de complicité.</w:t>
      </w:r>
    </w:p>
    <w:p>
      <w:r>
        <w:t>Pour le surplus, les arguments du recourant relatifs au partage du butin, au fait que la complicité n'est plus possible après que l'infraction a été achevée, à l'usage du téléphone portable ainsi qu'à la dissimulation du butin ne sont pas pertinents, ces éléments n'ayant pas été pris en considération pour qualifier son comportement de complicité de brigandage.</w:t>
      </w:r>
    </w:p>
    <w:p>
      <w:r>
        <w:rPr>
          <w:b/>
        </w:rPr>
        <w:t>E. 3</w:t>
      </w:r>
    </w:p>
    <w:p>
      <w:r>
        <w:t>Le recourant conteste s'être rendu coupable de complicité de violation de l' art. 33 LArm ainsi que de violation de cette disposition.</w:t>
      </w:r>
    </w:p>
    <w:p>
      <w:r>
        <w:rPr>
          <w:b/>
        </w:rPr>
        <w:t>E. 3.1</w:t>
      </w:r>
    </w:p>
    <w:p>
      <w:r>
        <w:t>Aux termes de l' art. 33 al. 1 LArm , est puni d'une peine privative de liberté de trois ans au plus ou d'une peine pécuniaire quiconque, intentionnellement, sans droit, notamment offre, aliène, acquiert, possède, fabrique, modifie, transforme, porte des armes. Conformément à l'al. 2, la peine est une amende si l'auteur agit par négligence.</w:t>
      </w:r>
    </w:p>
    <w:p>
      <w:r>
        <w:rPr>
          <w:b/>
        </w:rPr>
        <w:t>E. 3.2</w:t>
      </w:r>
    </w:p>
    <w:p>
      <w:r>
        <w:t>S'agissant des actes de complicité, le recourant soutient que seule une négligence peut lui être reprochée, de sorte que la complicité n'est pas punissable, l'infraction ne constituant pas un crime ou un délit au sens de l' art. 25 CP .</w:t>
      </w:r>
    </w:p>
    <w:p>
      <w:r>
        <w:t>Sur ce point son grief repose entièrement sur sa propre version des faits, qu'il tente d'opposer à celle retenue par la cour cantonale, sans toutefois présenter une argumentation satisfaisant aux exigences de l' art. 106 al. 2 LTF . Elle est donc irrecevable.</w:t>
      </w:r>
    </w:p>
    <w:p>
      <w:r>
        <w:rPr>
          <w:b/>
        </w:rPr>
        <w:t>E. 3.3</w:t>
      </w:r>
    </w:p>
    <w:p>
      <w:r>
        <w:t>En ce qui concerne la violation de l' art. 33 LArm commise par le fait d'être allé, à l'issue du troisième brigandage, chercher l'arme dans son galetas et de s'en être débarrassé dans un buisson, le recourant admet avoir tenu l'arme quelques minutes, le temps de la cacher dans les buissons.</w:t>
      </w:r>
    </w:p>
    <w:p>
      <w:r>
        <w:t>Conformément au texte clair de la loi, le seul fait de porter l'arme est constitutif de l'infraction; par ailleurs le Tribunal fédéral a déjà jugé que le fait de dissimuler une arme tombe sous le coup de cette disposition (voir arrêt 6B_545/2015 du 10 février 2016 consid. 3.2). Le recourant ne soutient par ailleurs à juste titre lui-même pas qu'il s'agirait d'un cas de peu de gravité permettant une exemption de toute peine en application de l' art. 33 al. 2 LArm .</w:t>
      </w:r>
    </w:p>
    <w:p>
      <w:r>
        <w:rPr>
          <w:b/>
        </w:rPr>
        <w:t>E. 4</w:t>
      </w:r>
    </w:p>
    <w:p>
      <w:r>
        <w:t>Le recourant conteste, enfin, la peine qui lui a été infligée.</w:t>
      </w:r>
    </w:p>
    <w:p>
      <w:r>
        <w:rPr>
          <w:b/>
        </w:rPr>
        <w:t>E. 4.1</w:t>
      </w:r>
    </w:p>
    <w:p>
      <w:r>
        <w:t>Dans la mesure où il soutient qu'il y a lieu d'atténuer la peine au motif que l'utilisation d'une arme dangereuse ne pouvait pas être retenue son grief est dénué de pertinence cette circonstance n'ayant pas été retenue à son encontre (voir consid. 1.1 ci-dessus).</w:t>
      </w:r>
    </w:p>
    <w:p>
      <w:r>
        <w:rPr>
          <w:b/>
        </w:rPr>
        <w:t>E. 4.2</w:t>
      </w:r>
    </w:p>
    <w:p>
      <w:r>
        <w:t>Il fait en outre valoir que la cour cantonale n'a pas suffisamment tenu compte de son évolution personnelle qu'il qualifie de très favorable.</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4.3</w:t>
      </w:r>
    </w:p>
    <w:p>
      <w:r>
        <w:t>La cour cantonale a jugé que la culpabilité du recourant était lourde, qu'il avait une longue expérience en matière de délinquance et avait déjà été sanctionné à plusieurs reprises sans prendre conscience de la gravité de ses actes. A sa décharge, elle a tenu compte de son jeune âge et de sa situation familiale, relevant par ailleurs que sa collaboration en cours d'enquête avait été toute relative.</w:t>
      </w:r>
    </w:p>
    <w:p>
      <w:r>
        <w:t>Contrairement à ce que soutient le recourant, la cour cantonale n'a pas méconnu son évolution personnelle puisqu'elle a noté que sa mère avait pu observer un changement chez le recourant, qui était devenu plutôt calme, parlait beaucoup avec elle et restait à la maison alors qu'auparavant il n'était presque pas au domicile et ne voulait pas l'écouter et relevant en outre qu'elle pensait que son fils avait la volonté de changer de vie. Peu importe que ces circonstances soient mentionnées dans la partie faits du jugement attaqué; la cour cantonale n'était en effet pas tenue de les répéter au stade de la fixation de la peine car le jugement forme un tout et on admet que le juge garde à l'esprit l'ensemble des éléments qui y figurent.</w:t>
      </w:r>
    </w:p>
    <w:p>
      <w:r>
        <w:t>Pour le surplus, il n'apparaît pas que la cour cantonale aurait méconnu des éléments déterminants, pas plus qu'elle en aurait négligé certains ou aurait accordé une importance excessive à d'autres. Dans ces circonstances, il y a lieu d'admettre que la peine infligée au recourant ne procède pas d'un abus du large pouvoir d'appréciation dont disposait la cour cantonale.</w:t>
      </w:r>
    </w:p>
    <w:p>
      <w:r>
        <w:rPr>
          <w:b/>
        </w:rPr>
        <w:t>E. 5</w:t>
      </w:r>
    </w:p>
    <w:p>
      <w:r>
        <w:t>Mal fondé,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