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6B_591/2022 vom 4. Mai 2023</w:t>
      </w:r>
    </w:p>
    <w:p>
      <w:r>
        <w:t>Bundesgericht, 2023-05-04, FR</w:t>
      </w:r>
    </w:p>
    <w:p>
      <w:r>
        <w:rPr>
          <w:b/>
        </w:rPr>
        <w:t xml:space="preserve">Quelle: </w:t>
      </w:r>
      <w:r>
        <w:t>https://mcp.opencaselaw.ch/entscheid/bger_6B_591_2022</w:t>
      </w:r>
    </w:p>
    <w:p>
      <w:r>
        <w:t>FR: TF 6B_591/2022 du 4 mai 2023</w:t>
      </w:r>
    </w:p>
    <w:p>
      <w:r>
        <w:t>IT: TF 6B_591/2022 del 4 maggio 2023</w:t>
      </w:r>
    </w:p>
    <w:p>
      <w:pPr>
        <w:pStyle w:val="Heading2"/>
      </w:pPr>
      <w:r>
        <w:t>Erwägungen</w:t>
      </w:r>
    </w:p>
    <w:p>
      <w:r>
        <w:rPr>
          <w:b/>
        </w:rPr>
        <w:t>E. 1</w:t>
      </w:r>
    </w:p>
    <w:p>
      <w:r>
        <w:t>Le recourant conteste sa condamnation pour lésions corporelles simples qualifiées. Il fait grief à la cour cantonale d'avoir apprécié les preuves et établi les faits de manière arbitraire et d'avoir violé le principe "</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6B_1389/2022 du 14 mars 2023 consid. 1.2; 6B_37/2022 du 9 février 2023 consid. 1.1; 6B_233/2022 du 12 janvier 2023 consid. 2.1.1).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1.1.3</w:t>
      </w:r>
    </w:p>
    <w:p>
      <w:r>
        <w:t>Les déclarations de la victime constituent un élément de preuve. Le juge doit, dans l'évaluation globale de l'ensemble des éléments probatoires rassemblés au dossier, les apprécier librement (arrêts 6B_720/2022 du 9 mars 2023 consid. 1.1; 6B_82/2022 du 18 janvier 2023 consid. 2.1; 6B_172/2022 du 31 octobre 2022 consid. 4.1),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6B_720/2022 précité consid. 1.1; 6B_164/2022 du 5 décembre 2022 consid. 1.2; 6B_979/2021 du 11 avril 2022 consid. 4.3).</w:t>
      </w:r>
    </w:p>
    <w:p>
      <w:r>
        <w:rPr>
          <w:b/>
        </w:rPr>
        <w:t>E. 1.2</w:t>
      </w:r>
    </w:p>
    <w:p>
      <w:r>
        <w:t>La cour cantonale a condamné le recourant pour lésions corporelles simples qualifiées.</w:t>
      </w:r>
    </w:p>
    <w:p>
      <w:r>
        <w:t>Elle a retenu que la version de l'intimée était crédible, compte tenu des éléments suivants:</w:t>
      </w:r>
    </w:p>
    <w:p>
      <w:r>
        <w:t>Le 13 janvier 2020, le F.________ avait établi un constat médical à la suite d'un examen effectué le 10 janvier 2020. Il mentionnait les déclarations de l'intimée qui étaient identiques aux allégations contenues dans la plainte pénale. Les spécialistes avaient ainsi constaté la présence, au niveau du membre supérieur gauche, des lésions suivantes: à la partie antéro-externe du tiers moyen du bras, deux ecchymoses jaune rosé mesurant, pour la plus grande, 3 cm de diamètre et, à la partie postéro-externe du tiers moyen du bras, deux ecchymoses jaune violacé mesurant, pour la plus grande, 1 cm de diamètre. L'intimée se plaignait également de douleurs au niveau du bras gauche irradiant vers l'épaule, la nuque et l'omoplate, partiellement soulagées par la prise de Dafalgan et d'Irfen.</w:t>
      </w:r>
    </w:p>
    <w:p>
      <w:r>
        <w:t>L'intimée avait expliqué que son mari l'avait saisie à chaque bras, puis l'avait plaquée contre un mur en lui tordant le bras gauche dans le dos. Elle avait hurlé et s'était débattue. Pour la cour cantonale, les lésions constatées ci-dessus et dont les photographies figurent au dossier étaient tout à fait compatibles avec la clé effectuée sur le bras gauche. La cour cantonale a exclu que l'intimée ait pu se faire de telles marques elle-même dans le seul dessein de nuire à son mari ou pour avoir la garde exclusive des enfants, alors qu'elle avait précédemment signé une convention portant sur la garde partagée.</w:t>
      </w:r>
    </w:p>
    <w:p>
      <w:r>
        <w:t>L'intimée avait bénéficié d'un arrêt de travail signé par la Dre G.________ du 9 au 22 janvier 2020, à 100 %, puis du 23 au 31 janvier 2020, à 100 % également. Elle avait consulté à l'Hôpital de X.________ en urgence le lendemain des faits. Les médecins lui avaient alors prescrit du Dafalgan et de l'Irfen. Dans un certificat médical du 15 décembre 2020, la Dre H.________ avait attesté que l'intimée était suivie à sa consultation et que, le 28 janvier 2020, sa patiente avait sollicité un nouveau suivi à la suite de violences conjugales subies le 8 janvier 2020, l'intimée affirmant avoir été agrippée par les bras et plaquée contre le mur par son ex-époux qui était venu chercher les enfants et qui aurait embarqué son fils D.A.________ avec violence.</w:t>
      </w:r>
    </w:p>
    <w:p>
      <w:r>
        <w:t>La cour cantonale a finalement retenu que l'avis médical dont se prévalait le recourant constituait une expertise privée. Les médecins de l'Institut médico-légal de Y.________ n'avaient pas examiné l'intimée. La cour cantonale ignorait même sur la base de quelles photographies leur appréciation avait été faite. Formulé au seul vu d'éléments du dossier plusieurs mois après les faits incriminés, cet avis ne saurait contredire des appréciations concordantes émises en consultation peu après les faits, y compris par des médecins d'une institution universitaire (F.________), indépendants des parties.</w:t>
      </w:r>
    </w:p>
    <w:p>
      <w:r>
        <w:rPr>
          <w:b/>
        </w:rPr>
        <w:t>E. 1.3</w:t>
      </w:r>
    </w:p>
    <w:p>
      <w:r>
        <w:t>Le recourant soutient qu'il était arbitraire de retenir que l'intimée n'avait pas pu se faire de telles marques elle-même dans le seul dessein de lui nuire ou pour obtenir la garde de ses enfants. En tant que l'argumentation du recourant consiste à opposer sa propre appréciation des moyens de preuve et sa version des faits à celles de la cour cantonale, elle est purement appellatoire. Il en va ainsi, par exemple, lorsqu'il soutient que l'intimée "aurait montré à maintes reprises son intention de ruiner irrémédiablement l'image du père auprès de ses enfants et de faire en sorte qu'il soit privé de tout droit de visite". En outre, il soutient que la cour cantonale aurait omis arbitrairement de prendre en compte des éléments procéduraux relatifs à la volonté de l'intimée de restreindre ses droits de père, ainsi que certaines publications (notamment sur Facebook) dans lesquelles elle l'aurait dénigré. Outre qu'il ne démontre pas, par une argumentation répondant aux exigences de motivation accrues de l' art. 106 al. 2 LTF , que ces éléments auraient été arbitrairement omis, ses critiques tombent à faux. En effet, la cour cantonale a bien retenu que les parties avaient traversé des difficultés matrimoniales et qu'elles s'étaient opposées dans le cadre de mesures protectrices de l'union conjugale. Ainsi, même dans l'hypothèse où l'intimée aurait souhaité, dès le début de la procédure, obtenir la garde exclusive des enfants, cela ne permet en aucun cas de tirer la conclusion qu'elle aurait menti s'agissant des lésions corporelles subies. De même, on ne voit pas en quoi le fait qu'elle n'avait pas fait appel aux forces de l'ordre suite aux événements porterait atteinte à la crédibilité de son récit.</w:t>
      </w:r>
    </w:p>
    <w:p>
      <w:r>
        <w:t>Le recourant affirme encore, de manière appellatoire, que les marques constatées ne seraient pas compatibles avec les faits. A cet égard, il revient longuement et vainement sur l'expertise médicale privée qui avait pourtant été écartée, à juste titre, par la cour cantonale.</w:t>
      </w:r>
    </w:p>
    <w:p>
      <w:r>
        <w:t>Les critiques sont dès lors rejetées dans la mesure où elles sont recevables. De plus, conformément à la jurisprudence, le principe</w:t>
      </w:r>
    </w:p>
    <w:p>
      <w:r>
        <w:t>in dubio pro reo n'a ici pas de portée plus large que l'interdiction de l'arbitraire.</w:t>
      </w:r>
    </w:p>
    <w:p>
      <w:r>
        <w:rPr>
          <w:b/>
        </w:rPr>
        <w:t>E. 1.4</w:t>
      </w:r>
    </w:p>
    <w:p>
      <w:r>
        <w:t>Le recourant conteste sa condamnation pour lésions corporelles simples qualifiées non sur la base des faits retenus par la cour cantonale, dont il n'a pas démontré l'arbitraire, mais sur la base des faits qu'il invoque librement. De la sorte, il n'articule aucun grief recevable tiré de l'application erronée du droit matériel. Insuffisamment motivées, les critiques du recourant sont irrecevables.</w:t>
      </w:r>
    </w:p>
    <w:p>
      <w:r>
        <w:rPr>
          <w:b/>
        </w:rPr>
        <w:t>E. 2</w:t>
      </w:r>
    </w:p>
    <w:p>
      <w:r>
        <w:t>Le recourant se plaint d'une violation de l' art. 186 CP .</w:t>
      </w:r>
    </w:p>
    <w:p>
      <w:r>
        <w:rPr>
          <w:b/>
        </w:rPr>
        <w:t>E. 2.1</w:t>
      </w:r>
    </w:p>
    <w:p>
      <w:r>
        <w:t>Commet une violation de domicile au sens de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 art. 186 CP appartient à celui qui a le pouvoir de disposer des lieux, en vertu d'un droit réel ou personnel ou encore d'un rapport de droit public ( ATF 128 IV 81 consid. 3a; 118 IV 167 consid. 1c; arrêts 6B_940/2021 du 9 février 2023 consid. 2.1.2; 6B_1025/2021 du 2 mai 2022 consid. 2.2).</w:t>
      </w:r>
    </w:p>
    <w:p>
      <w:r>
        <w:rPr>
          <w:b/>
        </w:rPr>
        <w:t>E. 2.2</w:t>
      </w:r>
    </w:p>
    <w:p>
      <w:r>
        <w:t>La cour cantonale a condamné le recourant pour violation de domicile. Elle a retenu qu'il s'était introduit sans droit dans le logement de l'intimée qui n'était alors plus le logement conjugal, selon la convention du 12 août 2019, ratifiée pour valoir prononcé de mesures protectrices de l'union conjugale, en bloquant la porte d'entrée avec son pied. Le recourant avait confirmé ce fait lors de sa première audition, du 24 septembre 2020 : « [L'intimée] m'a dit que je ne pourrais [sic] pas voir D.A.________. Je lui ai demandé à pouvoir le voir car je ne l'avais pas vu depuis 10 jours, ce que [l'intimée] a refusé. J'ai fait un pas et je me suis retrouvé à cheval sur le pas de la porte d'entrée ».</w:t>
      </w:r>
    </w:p>
    <w:p>
      <w:r>
        <w:rPr>
          <w:b/>
        </w:rPr>
        <w:t>E. 2.3</w:t>
      </w:r>
    </w:p>
    <w:p>
      <w:r>
        <w:t>En tant que le recourant soutient que l'intimée l'aurait finalement invité à entrer pour retrouver son fils, il se fonde sur des faits non constatés dans le jugement attaqué sans qu'il ne démontre, par une critique répondant aux exigences de motivation accrues de l' art. 106 al. 2 LTF , qu'ils auraient été arbitrairement omis. Partant, sa critique est irrecevable.</w:t>
      </w:r>
    </w:p>
    <w:p>
      <w:r>
        <w:t>Le recourant conteste la réalisation de l'infraction, notamment sous l'angle subjectif. Il convient de souligner que, selon la jurisprudence, l'infraction de violation de domicile peut être consommée du seul fait que l'auteur introduise son soulier entre la porte et le seuil, empêchant ainsi l'ayant droit de fermer la porte (cf. ATF 87 IV 120 consid. 2). En l'espèce, le recourant s'est introduit sans droit dans le logement de l'intimée, en bloquant la porte d'entrée avec son pied. Le recourant ne peut être suivi lorsqu'il soutient que l'intimée n'aurait pas clairement communiqué sa volonté de le voir "sortir" de son domicile. En effet, il lui est reproché d'avoir pénétré dans le domicile de l'intimée et ce contre sa volonté. Dès lors que le recourant a dû bloquer la porte avec son pied, il ne fait pas de doute que la volonté de l'ayant droit était suffisamment reconnaissable (cf. ATF 128 IV 81 consid. 4a). En outre, un tel geste démontre que le recourant avait conscience de s'introduire dans le logement de l'intimée, contre sa volonté, de sorte que l'élément subjectif de l'infraction est bien réalisé.</w:t>
      </w:r>
    </w:p>
    <w:p>
      <w:r>
        <w:t>Au vu de ce qui précède, la cour cantonale n'a pas violé l' art. 186 CP .</w:t>
      </w:r>
    </w:p>
    <w:p>
      <w:r>
        <w:rPr>
          <w:b/>
        </w:rPr>
        <w:t>E. 3</w:t>
      </w:r>
    </w:p>
    <w:p>
      <w:r>
        <w:t>Le recourant reproche à la cour cantonale d'avoir violé les art. 428 et 429 CPP .</w:t>
      </w:r>
    </w:p>
    <w:p>
      <w:r>
        <w:rPr>
          <w:b/>
        </w:rPr>
        <w:t>E. 3.1.1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rPr>
          <w:b/>
        </w:rPr>
        <w:t>E. 3.1.2</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6B_1023/2021 du 30 janvier 2023 consid. 5; 6B_762/2022 du 11 janvier 2023 consid. 2.1.1; 6B_162/2022 du 9 janvier 2023 consid. 2.1). Le juge ne peut fonder sa décision que sur des faits incontestés ou déjà clairement établis ( ATF 112 Ia 371 consid. 2a; arrêts 6B_162/2022 précité consid. 2.1; 6B_1003/2021 du 8 septembre 2022 consid. 1.1; 6B_1090/2020 du 1er avril 2021 consid. 2.1.1).</w:t>
      </w:r>
    </w:p>
    <w:p>
      <w:r>
        <w:t>Selon la jurisprudence, un comportement immoral ou contraire au principe de la bonne foi au sens de l' art. 2 CC ne peut en principe suffire pour justifier l'intervention des autorités répressives et, partant, entraîner l'imputation des frais au prévenu acquitté (cf. arrêts 6B_1003/2021 précité consid. 1.1; 6B_287/2021 du 11 novembre 2021 consid. 1.2.2; 6B_665/2020 du 22 septembre 2021 consid. 2.2.2 et 4.1).</w:t>
      </w:r>
    </w:p>
    <w:p>
      <w:r>
        <w:rPr>
          <w:b/>
        </w:rPr>
        <w:t>E. 3.1.3</w:t>
      </w:r>
    </w:p>
    <w:p>
      <w:r>
        <w:t>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6B_162/2022 précité consid. 2.1; 6B_248/2022 du 26 octobre 2022 consid. 1.1; 6B_1319/2019 du 18 août 2020 consid. 2.1, non publié aux ATF 146 IV 249 ).</w:t>
      </w:r>
    </w:p>
    <w:p>
      <w:r>
        <w:rPr>
          <w:b/>
        </w:rPr>
        <w:t>E. 3.1.4</w:t>
      </w:r>
    </w:p>
    <w:p>
      <w:r>
        <w:t>Selon l' art. 428 al. 1 CPP , les frais de la procédure de recours sont mis à la charge des parties dans la mesure où elles ont obtenu gain de cause ou succombé. 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t>Pour déterminer si une partie succombe ou obtient gain de cause, il faut examiner dans quelle mesure ses conclusions sont admises en deuxième instance (arrêts 6B_1397/2021 du 5 octobre 2022 consid. 11.2; 6B_275/2022 du 2 septembre 2022 consid. 3.1; 6B_636/2017 du 1er septembre 2017 consid. 4.1; 6B_620/2016 du 17 mai 2017 consid. 2.1.2 et les arrêts cités). Lorsqu'une partie obtient gain de cause sur un point, succombe sur un autre, le montant des frais à mettre à sa charge dépend de manière déterminante du travail nécessaire à trancher chaque point (arrêts 6B_636/2017 précité consid. 4.1; 6B_620/2016 précité consid. 2.1.2 et les arrêts cités).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(arrêts 6B_1397/2021 précité consid. 11.2; 6B_636/2017 précité consid. 4.1; 6B_620/2016 précité consid. 2.1.2 et les arrêts cités).</w:t>
      </w:r>
    </w:p>
    <w:p>
      <w:r>
        <w:rPr>
          <w:b/>
        </w:rPr>
        <w:t>E. 3.1.5</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6B_762/2022 précité consid. 2.1.2; 6B_380/2021 du 21 juin 2022 consid. 2.4.2; 6B_15/2021 du 12 novembre 2021 consid. 4.1.2).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3.2</w:t>
      </w:r>
    </w:p>
    <w:p>
      <w:r>
        <w:t>Le recourant a été libéré des infractions de vol et de contrainte.</w:t>
      </w:r>
    </w:p>
    <w:p>
      <w:r>
        <w:t>Pour la cour cantonale, le recourant n'avait pas démontré en quoi il aurait subi une atteinte grave à sa personnalité en lien avec les deux infractions, de sorte qu'aucune indemnité en tort moral ne saurait lui être allouée.</w:t>
      </w:r>
    </w:p>
    <w:p>
      <w:r>
        <w:t>La cour cantonale a estimé s'agissant du vol, que le recourant avait violé l' art. 176 al. 1 ch. 2 CC , lequel prévoit qu'à la requête d'un des conjoints et si la suspension de la vie commune est fondée, le juge prend les mesures en ce qui concerne le logement et le mobilier de ménage. Ainsi, pour la cour cantonale, compte tenu du désaccord de la partie adverse, il incombait au recourant de saisir le juge civil plutôt que de procéder lui-même à la répartition des biens mobiliers du couple. Ce faisant il avait, de manière illicite et fautive, provoqué l'ouverture de la procédure pénale. En ce qui concerne l'acquittement du chef de prévention de contrainte, la cour cantonale a retenu que celui-ci était très subsidiaire par rapport aux autres actes incriminés et n'avait donc aucune portée s'agissant des frais et dépens. Elle a ainsi conclu que le recourant supporterait l'entier des frais de première instance. Par identité de motif, elle a estimé qu'il n'aurait droit à aucune indemnité pour les dépenses occasionnées par la procédure au sens de l' art. 429 al. 1 let. a CPP .</w:t>
      </w:r>
    </w:p>
    <w:p>
      <w:r>
        <w:rPr>
          <w:b/>
        </w:rPr>
        <w:t>E. 3.3</w:t>
      </w:r>
    </w:p>
    <w:p>
      <w:r>
        <w:t>Le recourant se plaint de la mise à sa charge des frais de procédure de première instance et du refus de lui octroyer une indemnité. Il estime que la cour cantonale devait prendre en compte les acquittements et, à tout le moins, diminuer les frais à sa charge et lui allouer une indemnité pour les dépenses occasionnées. En ce qui concerne l'infraction de contrainte, la cour cantonale a estimé que ce point n'avait pas donné lieu à des frais supplémentaires et n'avait pas de portée s'agissant des dépens. Il est délicat de déterminer avec exactitude les frais qui relèvent de chaque fait imputable ou non au condamné et à cet égard une certaine marge d'appréciation doit être laissée à la cour cantonale (cf. arrêts 6B_1397/2021 précité consid. 11.1; 6B_572/2018 du 1er octobre 2018 consid. 5.1.1). Or le recourant n'explique nullement en quoi la cour cantonale aurait abusé de son pouvoir d'appréciation à ce sujet.</w:t>
      </w:r>
    </w:p>
    <w:p>
      <w:r>
        <w:t>S'agissant de l'infraction de vol, le recourant explique longuement pourquoi les éléments constitutifs de vol (au préjudice des proches ou des familiers) n'étaient pas réalisés, alors même qu'il a été acquitté de cette infraction. En outre, quand bien même le recourant aurait été, comme il l'affirme, copropriétaire des meubles, le contexte de la séparation était conflictuel et la question de la répartition des meubles du couple litigieuse, l'intimée s'étant opposée, le jour du déménagement, à ce que le recourant emporte quoi que ce soit. Dès lors, la cour cantonale a estimé, à juste titre, que le recourant aurait dû saisir le juge pour qu'il prenne des mesures concernant le mobilier du ménage conformément à l' art. 176 al. 2 CC et qu'il ne pouvait aucunement procéder lui-même à la répartition de ces biens. Partant, la cour cantonale pouvait retenir que le recourant avait provoqué, de manière illicite et fautive, l'ouverture de la procédure et mettre ainsi les frais de procédure à sa charge.</w:t>
      </w:r>
    </w:p>
    <w:p>
      <w:r>
        <w:t>Dans cette même mesure, le refus d'une indemnité pour ses frais de défense ne prête pas le flanc à la critique.</w:t>
      </w:r>
    </w:p>
    <w:p>
      <w:r>
        <w:t>Le grief doit être rejeté.</w:t>
      </w:r>
    </w:p>
    <w:p>
      <w:r>
        <w:rPr>
          <w:b/>
        </w:rPr>
        <w:t>E. 4</w:t>
      </w:r>
    </w:p>
    <w:p>
      <w:r>
        <w:t>Le recourant conteste le montant de l'indemnité octroyée pour les dépenses obligatoires en appel.</w:t>
      </w:r>
    </w:p>
    <w:p>
      <w:r>
        <w:rPr>
          <w:b/>
        </w:rPr>
        <w:t>E. 4.1.1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w:t>
      </w:r>
    </w:p>
    <w:p>
      <w:r>
        <w:rPr>
          <w:b/>
        </w:rPr>
        <w:t>E. 4.1.2</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6B_380/2021 du 21 juin 2022 consid. 2.2.1; 6B_757/2020 du 4 novembre 2020 consid. 4.1; 6B_1254/2019 du 16 mars 2020 consid. 10.1).</w:t>
      </w:r>
    </w:p>
    <w:p>
      <w:r>
        <w:rPr>
          <w:b/>
        </w:rPr>
        <w:t>E. 4.1.3</w:t>
      </w:r>
    </w:p>
    <w:p>
      <w:r>
        <w:t>Selon la jurisprudence, l'indemnité doit correspondre au tarif usuel du barreau applicable dans le canton où la procédure se déroule ( ATF 142 IV 163 consid. 3.1.2).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4.1.4</w:t>
      </w:r>
    </w:p>
    <w:p>
      <w:r>
        <w:t>D'après l' art. 436 al. 1 CPP ,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w:t>
      </w:r>
    </w:p>
    <w:p>
      <w:r>
        <w:rPr>
          <w:b/>
        </w:rPr>
        <w:t>E. 4.2</w:t>
      </w:r>
    </w:p>
    <w:p>
      <w:r>
        <w:t>La cour cantonale a retenu que le recourant avait droit, à la charge de l'intimée, à une indemnité réduite pour les dépenses obligatoires occasionnées par la procédure d'appel. L'indemnité devait être réduite dans la même mesure que les frais, soit à raison de la moitié. Elle a estimé que les opérations nécessaires à la défense des intérêts du recourant se répartissaient comme il suit:</w:t>
      </w:r>
    </w:p>
    <w:p>
      <w:r>
        <w:t>- analyse du jugement de première instance (avec annonce d'appel) et rédaction de la déclaration d'appel motivée: 7 heures;</w:t>
      </w:r>
    </w:p>
    <w:p>
      <w:r>
        <w:t>- préparation de la plaidoirie: 4 heures;</w:t>
      </w:r>
    </w:p>
    <w:p>
      <w:r>
        <w:t>- audience d'appel: 2 heures;</w:t>
      </w:r>
    </w:p>
    <w:p>
      <w:r>
        <w:t>- conférences avec le mandant (à l'Etude et par téléphone), ainsi que réception et envoi de courriers et courriels divers: 6 heures;</w:t>
      </w:r>
    </w:p>
    <w:p>
      <w:r>
        <w:t>- divers et rédaction du mémoire produit à l'audience d'appel: 1 heure;</w:t>
      </w:r>
    </w:p>
    <w:p>
      <w:r>
        <w:t>- total: 20 heures.</w:t>
      </w:r>
    </w:p>
    <w:p>
      <w:r>
        <w:t>La cour cantonale a également fixé le tarif horaire à 250 fr., pour tenir compte du degré de complexité limité de la cause. A ces honoraires, elle a ajoutés des débours forfaitaires à concurrence de 2 %. Aucuns débours en relation avec la vacation à l'audience d'appel n'étaient requis. La pleine indemnité s'élevait donc à 5'492 fr. 70, TVA comprise, ce qui impliquait une indemnité réduite d'un montant de 2'746 fr. 35.</w:t>
      </w:r>
    </w:p>
    <w:p>
      <w:r>
        <w:rPr>
          <w:b/>
        </w:rPr>
        <w:t>E. 4.3.1</w:t>
      </w:r>
    </w:p>
    <w:p>
      <w:r>
        <w:t>Le recourant reproche à la cour cantonale d'avoir arbitrairement appliqué un tarif horaire de 250 fr. pour calculer l'indemnité.</w:t>
      </w:r>
    </w:p>
    <w:p>
      <w:r>
        <w:t>Le recourant ne démontre nullement en quoi il aurait été insoutenable, pour la cour cantonale, de considérer que le dossier présentait un degré de complexité limité. La cour cantonale disposant d'une grande latitude pour fixer le tarif horaire, elle pouvait appliquer le tarif horaire minimal prévu par l'art. 26a al. 3 TFIP/VD.</w:t>
      </w:r>
    </w:p>
    <w:p>
      <w:r>
        <w:t>Mal fondé, le grief doit être rejeté.</w:t>
      </w:r>
    </w:p>
    <w:p>
      <w:r>
        <w:rPr>
          <w:b/>
        </w:rPr>
        <w:t>E. 4.3.2</w:t>
      </w:r>
    </w:p>
    <w:p>
      <w:r>
        <w:t>Le recourant reproche à la cour cantonale d'avoir arbitrairement retenu 20 heures de travail, en lieu et place des 40 heures 50 réclamées. Toutefois, il ne discute d'aucune manière le détail des opérations que la cour cantonale a considérées comme nécessaires. Faute de toute argumentation topique, ses critiques sont irrecevables.</w:t>
      </w:r>
    </w:p>
    <w:p>
      <w:r>
        <w:rPr>
          <w:b/>
        </w:rPr>
        <w:t>E. 5</w:t>
      </w:r>
    </w:p>
    <w:p>
      <w:r>
        <w:t>Au vu de ce qui précède, le recours est rejeté dans la mesure où il est recevable. Le recourant, qui succombe, doit supporter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