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591/2010 vom 30. Juli 2010</w:t>
      </w:r>
    </w:p>
    <w:p>
      <w:r>
        <w:t>Bundesgericht, 2010-07-30, DE</w:t>
      </w:r>
    </w:p>
    <w:p>
      <w:r>
        <w:rPr>
          <w:b/>
        </w:rPr>
        <w:t xml:space="preserve">Quelle: </w:t>
      </w:r>
      <w:r>
        <w:t>https://mcp.opencaselaw.ch/entscheid/bger_6B_591_2010</w:t>
      </w:r>
    </w:p>
    <w:p>
      <w:r>
        <w:t>FR: TF 6B 591/2010 du 30 juillet 2010</w:t>
      </w:r>
    </w:p>
    <w:p>
      <w:r>
        <w:t>IT: TF 6B 591/2010 del 30 luglio 2010</w:t>
      </w:r>
    </w:p>
    <w:p>
      <w:pPr>
        <w:pStyle w:val="Heading2"/>
      </w:pPr>
      <w:r>
        <w:t>Regeste</w:t>
      </w:r>
    </w:p>
    <w:p>
      <w:r>
        <w:t>Nichteintreten auf Strafanzeige (Betrug, Amtsmissbrauch usw.) | Strafrecht (allgemein)</w:t>
      </w:r>
    </w:p>
    <w:p>
      <w:pPr>
        <w:pStyle w:val="Heading2"/>
      </w:pPr>
      <w:r>
        <w:t>Erwägungen</w:t>
      </w:r>
    </w:p>
    <w:p>
      <w:r>
        <w:rPr>
          <w:b/>
        </w:rPr>
        <w:t>E. 1</w:t>
      </w:r>
    </w:p>
    <w:p>
      <w:r>
        <w:t>Die Beschwerde richtet sich dagegen, dass die Staatsanwaltschaft auf zwei Strafanzeigen wegen Betrugs, Amtsmissbrauchs, ungetreuer Amtsführung sowie Urkundenfälschung im Amt nicht eintrat und im angefochtenen Entscheid ein dagegen gerichteter Rekurs abgewiesen wurde, soweit darauf eingetreten werden konnte. Im Gegensatz zu seiner Meinung (Beschwerde S. 2) ist der Beschwerdeführer indessen nicht Privatstrafkläger im Sinne von Art. 81 Abs. 1 lit. b Ziff. 4 BGG, weil er die Anklage nicht ohne Beteiligung der Staatsanwaltschaft vertreten hat. Durch die angezeigten Straftaten wurde er in seiner körperlichen, psychischen oder sexuellen Integrität nicht unmittelbar beeinträchtigt, weshalb er auch nicht Opfer im Sinne von Art. 81 Abs. 1 lit. b Ziff. 5 BGG in Verbindung mit Art. 1 Abs. 1 OHG ist. Als Geschädigter, der nicht Opfer ist, ist er zur vorliegenden Beschwerde nicht legitimiert ( BGE 136 IV 29 ). Darauf ist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