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6B_591/2008 vom 26. Dezember 2008</w:t>
      </w:r>
    </w:p>
    <w:p>
      <w:r>
        <w:t>Bundesgericht, 2008-12-26, DE</w:t>
      </w:r>
    </w:p>
    <w:p>
      <w:r>
        <w:rPr>
          <w:b/>
        </w:rPr>
        <w:t xml:space="preserve">Quelle: </w:t>
      </w:r>
      <w:r>
        <w:t>https://mcp.opencaselaw.ch/entscheid/bger_6B_591_2008</w:t>
      </w:r>
    </w:p>
    <w:p>
      <w:r>
        <w:t>FR: TF 6B_591/2008 du 26 décembre 2008</w:t>
      </w:r>
    </w:p>
    <w:p>
      <w:r>
        <w:t>IT: TF 6B_591/2008 del 26 dicembre 2008</w:t>
      </w:r>
    </w:p>
    <w:p>
      <w:pPr>
        <w:pStyle w:val="Heading2"/>
      </w:pPr>
      <w:r>
        <w:t>Erwägungen</w:t>
      </w:r>
    </w:p>
    <w:p>
      <w:r>
        <w:rPr>
          <w:b/>
        </w:rPr>
        <w:t>E. 1</w:t>
      </w:r>
    </w:p>
    <w:p>
      <w:r>
        <w:t>Der Antrag des Beschwerdeführers, das Urteil vom 24. Januar 2002 sei aufzuheben, ist offensichtlich verspätet ( Art. 100 Abs. 1 BGG ). Darauf ist nicht einzutreten.</w:t>
      </w:r>
    </w:p>
    <w:p>
      <w:r>
        <w:rPr>
          <w:b/>
        </w:rPr>
        <w:t>E. 2</w:t>
      </w:r>
    </w:p>
    <w:p>
      <w:r>
        <w:t>Im Verfahren wegen Rassendiskriminierung macht der Beschwerdeführer geltend, die Schweiz oder die Schweizer seien weder eine Rasse noch eine ethnische Gruppe, sondern eine politische Entität.</w:t>
      </w:r>
    </w:p>
    <w:p>
      <w:r>
        <w:t>Die Vorinstanz verweist in diesem Zusammenhang unter anderem auf die Erwägungen der ersten Instanz (Urteil vom 30. April 2008, S. 45 Ziff. 3.2). Diese führt dazu aus, im Sinne der Definition ethnischer Gruppen sei sicher die Gemeinschaft der Deutschschweizer/innen als Angriffsobjekt zu sehen. Diese bildeten wegen ihres sprachlichen, politischen und historischen Hintergrundes eine Gruppe, die sich von anderen aufgrund eben dieser bestimmten und konstanten Merkmale unterscheide (kantonale Akten, act. 2215).</w:t>
      </w:r>
    </w:p>
    <w:p>
      <w:r>
        <w:t>Da der Beschwerdeführer die Begriffe Schweiz und Schweizer als Synonyme von Deutschschweizer/innen benutzt (a.a.O.), ist diese Beurteilung nicht zu beanstanden. Die Vorinstanz hat somit das Tatbestandsmerkmal der ethnischen Gruppe zu Recht als gegeben erachtet - wie auch die übrigen Tatbestandsmerkmale des Art. 261bis StGB .</w:t>
      </w:r>
    </w:p>
    <w:p>
      <w:r>
        <w:rPr>
          <w:b/>
        </w:rPr>
        <w:t>E. 3</w:t>
      </w:r>
    </w:p>
    <w:p>
      <w:r>
        <w:t>Abgesehen von der Rüge in Erwägung 2 enthält die Beschwerdeschrift keinerlei Ausführungen, welche die minimalen Anforderungen an die Rügepflicht ( Art. 42 Abs. 1 BGG ) erfüllen würden. Deshalb ist auf die Beschwerde nicht weiter einzutreten.</w:t>
      </w:r>
    </w:p>
    <w:p>
      <w:r>
        <w:rPr>
          <w:b/>
        </w:rPr>
        <w:t>E. 4</w:t>
      </w:r>
    </w:p>
    <w:p>
      <w:r>
        <w:t>Der Beschwerdeführer stellt ein Gesuch um unentgeltliche Rechtspflege. Da seine Begehren von vornherein aussichtslos erschienen, ist das Gesuch abzuweisen ( Art. 64 Abs. 1 BGG ). Folglich wird der Beschwerdeführer kostenpflichtig ( Art. 66 Abs. 1 BGG ). Bei der Bemessung der Kosten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