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6B_590/2024 vom 7. Januar 2025</w:t>
      </w:r>
    </w:p>
    <w:p>
      <w:r>
        <w:t>Bundesgericht, 2025-01-07, DE</w:t>
      </w:r>
    </w:p>
    <w:p>
      <w:r>
        <w:rPr>
          <w:b/>
        </w:rPr>
        <w:t xml:space="preserve">Quelle: </w:t>
      </w:r>
      <w:r>
        <w:t>https://mcp.opencaselaw.ch/entscheid/bger_6B_590_2024</w:t>
      </w:r>
    </w:p>
    <w:p>
      <w:r>
        <w:t>FR: TF 6B_590/2024 du 7 janvier 2025</w:t>
      </w:r>
    </w:p>
    <w:p>
      <w:r>
        <w:t>IT: TF 6B_590/2024 del 7 gennaio 2025</w:t>
      </w:r>
    </w:p>
    <w:p>
      <w:pPr>
        <w:pStyle w:val="Heading2"/>
      </w:pPr>
      <w:r>
        <w:t>Erwägungen</w:t>
      </w:r>
    </w:p>
    <w:p>
      <w:r>
        <w:rPr>
          <w:b/>
        </w:rPr>
        <w:t>E. 1</w:t>
      </w:r>
    </w:p>
    <w:p>
      <w:r>
        <w:t>Staatsanwaltschaft des Kantons Graubünden, Erster Staatsanwalt, Rohanstrasse 5, 7000 Chur,</w:t>
      </w:r>
    </w:p>
    <w:p>
      <w:r>
        <w:rPr>
          <w:b/>
        </w:rPr>
        <w:t>E. 2</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3</w:t>
      </w:r>
    </w:p>
    <w:p>
      <w:r>
        <w:t>Diesen Anforderungen wird die Beschwerde nicht gerecht. Die Beschwerdeführerin setzt sich nicht im Geringsten mit den Erwägungen des angefochtenen Urteils auseinander, sondern reicht dem Bundesgericht eine Beschwerdeeingabe ein, die mit der im vorinstanzlichen Verfahren eingereichten schriftlichen Berufungsbegründung vom 6. April 2024 nahezu identisch ist (vgl. kantonale Akten, Kantonsgericht, act. A.3). Die Beschwerdeführerin begnügt sich derweise damit, die vor Vorinstanz erhobenen Standpunkte lapidar zu wiederholen, ohne indessen mit ihrer Kritik - in rechtlicher Hinsicht - auch nur ansatzweise an der als fehlerhaft erachteten vorinstanzlichen Begründung anzusetzen, geschweige denn - in tatsächlicher Hinsicht - auf die Sachverhaltsfeststellungen der Vorinstanz auch nur im Geringsten einzugehen, um darzulegen, inwiefern die Vorinstanz Willkür zu Unrecht verneint haben soll. Die Sachverhaltsversion der Beschwerdeführerin wurde im vorinstanzlichen Urteil jedoch mit einlässlicher Begründung verworfen und ihre Kritik widerlegt. Aus der Beschwerde ergibt sich somit nicht, inwiefern das angefochtene Urteil willkürlich oder sonstwie bundesrechtswidrig sein könnte. Die Beschwerde erfüllt selbst die an eine Laienbeschwerde zu stellenden minimalen Begründungsanforderungen nicht, weshalb darauf im Verfahren nach Art. 108 BGG nicht eingetreten werden kann.</w:t>
      </w:r>
    </w:p>
    <w:p>
      <w:r>
        <w:rPr>
          <w:b/>
        </w:rPr>
        <w:t>E. 4</w:t>
      </w:r>
    </w:p>
    <w:p>
      <w:r>
        <w:t>Bei diesem Verfahrensausgang trägt die Beschwerdeführerin die Gerichtskosten. Ihr Gesuch um unentgeltliche Rechtspflege wird gestützt auf Art. 64 BGG wegen Aussichtslosigkeit der Beschwerde abgewiesen. Der finanziellen Lage der Beschwerdeführerin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