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6B_590/2007 vom 19. Dezember 2007</w:t>
      </w:r>
    </w:p>
    <w:p>
      <w:r>
        <w:t>Bundesgericht, 2007-12-19, DE</w:t>
      </w:r>
    </w:p>
    <w:p>
      <w:r>
        <w:rPr>
          <w:b/>
        </w:rPr>
        <w:t xml:space="preserve">Quelle: </w:t>
      </w:r>
      <w:r>
        <w:t>https://mcp.opencaselaw.ch/entscheid/bger_6B_590_2007</w:t>
      </w:r>
    </w:p>
    <w:p>
      <w:r>
        <w:t>FR: TF 6B_590/2007 du 19 décembre 2007</w:t>
      </w:r>
    </w:p>
    <w:p>
      <w:r>
        <w:t>IT: TF 6B_590/2007 del 19 dicembre 2007</w:t>
      </w:r>
    </w:p>
    <w:p>
      <w:pPr>
        <w:pStyle w:val="Heading2"/>
      </w:pPr>
      <w:r>
        <w:t>Erwägungen</w:t>
      </w:r>
    </w:p>
    <w:p>
      <w:r>
        <w:rPr>
          <w:b/>
        </w:rPr>
        <w:t>E. 1</w:t>
      </w:r>
    </w:p>
    <w:p>
      <w:r>
        <w:t>Die vom angefochtenen Entscheid geschützte Abweisung des Akteneinsichtsgesuchs erging im Rahmen eines Strafverfahrens. Die Beschwerdeführerinnen waren daran nicht beteiligt, sondern verlangten, gestützt auf das Sozialversicherungsrecht des Bundes, Einsicht in die Strafakten. Der Entscheid darüber ist daher verwaltungs-, nicht strafrechtlicher Natur. Da die Verantwortung über die Herausgabe von Strafakten indessen dem zuständigen Untersuchungs- bzw. Strafrichter obliegt und die Beschwerdeführerinnen damit nicht befugt sind, gestützt auf Art. 32 und 49 des Bundesgesetzes vom 6. Oktober 2000 über den Allgemeinen Teil des Sozialversicherungsrechts (SR 830.1; ATSG) die Herausgabe der Akten selber zu verfügen, handelt es sich nicht um ein sozialversicherungsrechtliches Verfahren im Sinne von Art. 1 lit. b ATSG , welches einem speziellen Rechtsmittelzug nach Art. 56 ff. unterliegen würde. Im Kanton wurde daher zu Recht der strafprozessuale Rechtsmittelweg - Rekurs an die Oberstaatsanwaltschaft - zur Überprüfung des erstinstanzlichen Entscheids gewählt. Für das Verfahren vor Bundesgericht bedeutet dies, dass es sich um eine öffentlich-rechtliche Angelegenheit aus dem Gebiet des Strafprozessrechts handelt. Da das Verfahren um Akteneinsicht mit deren Verweigerung abgeschlossen ist, handelt es sich beim angefochtenen Entscheid zudem um einen Endentscheid im Sinne von Art. 90 BGG . Die Beschwerde ist somit als solche in öffentlich-rechtlichen Angelegenheiten entgegenzunehmen und gemäss Art. 33 des Bundesgerichtsreglements (SR 173.110.131) von der strafrechtlichen Abteilung zu behandeln.</w:t>
      </w:r>
    </w:p>
    <w:p>
      <w:r>
        <w:rPr>
          <w:b/>
        </w:rPr>
        <w:t>E. 2</w:t>
      </w:r>
    </w:p>
    <w:p>
      <w:r>
        <w:t>Die Strafakten wurden am 8. März 2007 und damit bereits vor dem Ergehen des angefochtenen Entscheids dem Obergericht überstellt und befinden sich seither in dessen Verfügungsgewalt. Die Staatsanwaltschaft war somit im Zeitpunkt, als die Beschwerdeführerinnen den Rekursentscheid der Oberstaatsanwaltschaft beim Bundesgericht anfochten, nicht mehr zuständig für die Gewährung von Akteneinsicht. Eine Gutheissung der Beschwerde würde somit den Beschwerdeführerinnen nichts nützen, da die Staatsanwaltschaft nicht in der Lage wäre, ihnen Einsicht in die sich nicht mehr in ihren Händen befindenden Akten zu gewähren, und das Obergericht wäre als nicht am Verfahren beteiligte Instanz nicht an den Bundesgerichtsentscheid gebunden. Den Beschwerdeführerinnen geht somit ein aktuelles Rechtsschutzinteresse an der Überprüfung des angefochtenen Entscheids ab, weshalb darauf nicht einzutreten ist.</w:t>
      </w:r>
    </w:p>
    <w:p>
      <w:r>
        <w:rPr>
          <w:b/>
        </w:rPr>
        <w:t>E. 3</w:t>
      </w:r>
    </w:p>
    <w:p>
      <w:r>
        <w:t>Die Beschwerdeführerinnen beantragen indessen nebst der Aufhebung des angefochtenen Entscheids auch die Gewährung von Akteneinsicht gemäss ihrem ursprünglichen Begehren. Dieses Gesuch ist antragsgemäss dem dafür zuständigen Obergericht zur Behandlung zu überweisen.</w:t>
      </w:r>
    </w:p>
    <w:p>
      <w:r>
        <w:rPr>
          <w:b/>
        </w:rPr>
        <w:t>E. 4</w:t>
      </w:r>
    </w:p>
    <w:p>
      <w:r>
        <w:t>Der Entscheid, auf diese offensichtlich nicht zulässige Beschwerde nicht einzutreten, erfolgt im vereinfachten Verfahren nach Art. 108 Abs. 1 lit. a und Abs. 2 BGG . Es rechtfertigt sich unter den vorliegenden Umständen,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