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589/2016 vom 25. Juli 2016</w:t>
      </w:r>
    </w:p>
    <w:p>
      <w:r>
        <w:t>Bundesgericht, 2016-07-25, FR</w:t>
      </w:r>
    </w:p>
    <w:p>
      <w:r>
        <w:rPr>
          <w:b/>
        </w:rPr>
        <w:t xml:space="preserve">Quelle: </w:t>
      </w:r>
      <w:r>
        <w:t>https://mcp.opencaselaw.ch/entscheid/bger_6B_589_2016</w:t>
      </w:r>
    </w:p>
    <w:p>
      <w:r>
        <w:t>FR: TF 6B 589/2016 du 25 juillet 2016</w:t>
      </w:r>
    </w:p>
    <w:p>
      <w:r>
        <w:t>IT: TF 6B 589/2016 del 25 luglio 2016</w:t>
      </w:r>
    </w:p>
    <w:p>
      <w:pPr>
        <w:pStyle w:val="Heading2"/>
      </w:pPr>
      <w:r>
        <w:t>Regeste</w:t>
      </w:r>
    </w:p>
    <w:p>
      <w:r>
        <w:t>Sanction disciplinaire, recours au Tribunal fédéral, avance de frais | Exécution des peines et des mesures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 Le délai pour le versement d'avances ou la fourniture de sûretés est observé si, avant son échéance, la somme due est versée à La Poste Suisse ou débitée en Suisse d'un compte postal ou bancaire en faveur du Tribunal fédéral ( art. 48 al. 4 LTF ). X.________ a déposé un recours en matière pénale au Tribunal fédéral contre l' arrêt cité sous rubrique. Invitée une première fois à verser une avance de frais de 2000 francs conformément à l' art. 62 al. 1 LTF , la prénommée ne s'est pas exécutée. Par ordonnance du 24 juin 2016, le Président de la cour de céans lui a imparti, pour ce faire, un délai supplémentaire jusqu'au 5 juillet 2016, avec l'indication qu'à défaut de paiement en temps utile, le recours serait irrecevable. L'intéressée n'ayant pas effectué l'avance de frais requise dans le délai supplémentaire imparti ( art. 48 al. 4 LTF ), son recours est manifestement irrecevable ( art. 62 al. 3 LTF ). Il doit dès lors être écarté en application de la procédure simplifiée prévue à l' art. 108 al. 1 let. a LTF .</w:t>
      </w:r>
    </w:p>
    <w:p>
      <w:r>
        <w:rPr>
          <w:b/>
        </w:rPr>
        <w:t>E. 2</w:t>
      </w:r>
    </w:p>
    <w:p>
      <w:r>
        <w:t>La recourante, qui succombe, supporte les frais de justice (cf.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