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6B_589/2009 vom 14. September 2009</w:t>
      </w:r>
    </w:p>
    <w:p>
      <w:r>
        <w:t>Bundesgericht, 2009-09-14, FR</w:t>
      </w:r>
    </w:p>
    <w:p>
      <w:r>
        <w:rPr>
          <w:b/>
        </w:rPr>
        <w:t xml:space="preserve">Quelle: </w:t>
      </w:r>
      <w:r>
        <w:t>https://mcp.opencaselaw.ch/entscheid/bger_6B_589_2009</w:t>
      </w:r>
    </w:p>
    <w:p>
      <w:r>
        <w:t>FR: TF 6B_589/2009 du 14 septembre 2009</w:t>
      </w:r>
    </w:p>
    <w:p>
      <w:r>
        <w:t>IT: TF 6B_589/2009 del 14 settembre 2009</w:t>
      </w:r>
    </w:p>
    <w:p>
      <w:pPr>
        <w:pStyle w:val="Heading2"/>
      </w:pPr>
      <w:r>
        <w:t>Erwägungen</w:t>
      </w:r>
    </w:p>
    <w:p>
      <w:r>
        <w:rPr>
          <w:b/>
        </w:rPr>
        <w:t>E. 1</w:t>
      </w:r>
    </w:p>
    <w:p>
      <w:r>
        <w:t>Le recours constitutionnel subsidiaire n'est ouvert que contre les décisions de dernière instance cantonale qui ne peuvent faire l'objet d'aucun recours ordinaire ( art. 113 LTF ). Dans le cas présent, le recours en matière pénale étant ouvert contre le jugement attaqué (cf. art. 78 al. 1 et 80 al. 1 LTF), le recours constitutionnel subsidiaire est irrecevable.</w:t>
      </w:r>
    </w:p>
    <w:p>
      <w:r>
        <w:rPr>
          <w:b/>
        </w:rPr>
        <w:t>E. 2</w:t>
      </w:r>
    </w:p>
    <w:p>
      <w:r>
        <w:t>Le recourant conteste sa condamnation pour faux dans les titres.</w:t>
      </w:r>
    </w:p>
    <w:p>
      <w:r>
        <w:rPr>
          <w:b/>
        </w:rPr>
        <w:t>E. 2.1</w:t>
      </w:r>
    </w:p>
    <w:p>
      <w:r>
        <w:t>Aux termes de l' art. 251 ch. 1 CP ,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w:t>
      </w:r>
    </w:p>
    <w:p>
      <w:r>
        <w:t>Cette disposition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 ATF 126 IV 65 consid. 2a p. 67).</w:t>
      </w:r>
    </w:p>
    <w:p>
      <w:r>
        <w:rPr>
          <w:b/>
        </w:rPr>
        <w:t>E. 2.1.1</w:t>
      </w:r>
    </w:p>
    <w:p>
      <w:r>
        <w:t>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126 IV 65 consid. 2a p. 67 s.; 125 IV 273 consid. 3a p. 276 ss).</w:t>
      </w:r>
    </w:p>
    <w:p>
      <w:r>
        <w:t>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 ATF 121 IV 131 consid. 2c p. 135 ss; ATF 6S.37/2007 du 19 avril 2007 consid. 8.2.2). Celle-ci doit être dans une position analogue à celle d'un garant ( ATF 120 IV 25 consid. f p. 29). Selon le Tribunal fédéral,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 ATF 117 IV 165 consid. 4 p. 169 s; 103 IV 178 consid. 2c p. 184; ATF 6S.491/1999 du 23 septembre 1999 consid. 7; ATF 6S.22/2007 du 4 mai 2007 consid. 9.2).</w:t>
      </w:r>
    </w:p>
    <w:p>
      <w:r>
        <w:rPr>
          <w:b/>
        </w:rPr>
        <w:t>E. 2.1.2</w:t>
      </w:r>
    </w:p>
    <w:p>
      <w:r>
        <w:t>Le faux dans les titres est une infraction intentionnelle. Le dol éventuel suffit. L' art. 251 CP exige de surcroît un dessein spécial, qui peut se présenter sous deux formes alternatives, soit le dessein de nuire ou le dessein d'obtenir un avantage illicite (B. CORBOZ, Les infractions spéciales, ad art. 251 CP n° 171 ss p. 216 ss).</w:t>
      </w:r>
    </w:p>
    <w:p>
      <w:r>
        <w:rPr>
          <w:b/>
        </w:rPr>
        <w:t>E. 2.2</w:t>
      </w:r>
    </w:p>
    <w:p>
      <w:r>
        <w:t>Le recourant soutient que les factures et protocoles opératoires ne constituent pas des titres au sens de la loi.</w:t>
      </w:r>
    </w:p>
    <w:p>
      <w:r>
        <w:rPr>
          <w:b/>
        </w:rPr>
        <w:t>E. 2.2.1</w:t>
      </w:r>
    </w:p>
    <w:p>
      <w:r>
        <w:t>Selon les constatations cantonales, E.________ Sàrl a facturé aux caisses-maladie concernées une assistance opératoire dans plus de 100 cas, alors que ces prestations, qui n'avaient pas été effectuées, n'avaient pas à être comptabilisées (cf. supra consid. B.c).</w:t>
      </w:r>
    </w:p>
    <w:p>
      <w:r>
        <w:t>Conformément à la LAMal, l'assurance obligatoire des soins prend en charge les coûts des prestations qui servent à diagnostiquer ou à traiter une maladie et ses séquelles ( art. 25 al. 1 LAMal ). Ces prestations doivent être efficaces, appropriées et économiques ( art. 32 al. 1 LAMal ). En cas de traitement hospitalier, l'assureur est le débiteur de sa part de rémunération (cf. art. 42 al. 2, 2ème phrase LAMal). Le fournisseur de prestations doit lui remettre une facture détaillée et compréhensible. Il doit aussi lui transmettre toutes les indications nécessaires lui permettant de vérifier le calcul de la rémunération et le caractère économique de la prestation ( art. 42 al. 2 LAMal ). Il doit limiter ses prestations à la mesure exigée par l'intérêt de l'assuré et le but du traitement ( art. 56 al. 1 LAMal ). Si, avant de régler ces factures, l'assureur procède à un certain contrôle, sa vérification reste cependant limitée, dès lors qu'il se fie en principe aux indications du fournisseur de soins. La facture est propre à établir, à l'égard de l'assureur, l'exactitude des indications qui y figurent et la réalité des prestations comptabilisées. Ainsi, en raison de la situation particulière du médecin, qui bénéficie d'une position privilégiée et jouit de ce fait d'une confiance particulière, et du pouvoir de vérification relativement limité des assureurs, les factures litigieuses revêtent - conformément d'ailleurs à la jurisprudence citée au consid. 2.1.1 - une valeur probante accrue.</w:t>
      </w:r>
    </w:p>
    <w:p>
      <w:r>
        <w:rPr>
          <w:b/>
        </w:rPr>
        <w:t>E. 2.2.2</w:t>
      </w:r>
    </w:p>
    <w:p>
      <w:r>
        <w:t>Selon les faits retenus, le recourant a, à plusieurs reprises, indiqué dans ses protocoles opératoires le nom du docteur G.________ en qualité d'assistant, alors que celui-ci ne se trouvait pas à la clinique (cf. supra consid. B.c). Le juge cantonal a considéré que ces documents étaient propres à établir l'exactitude des indications y contenues, notamment la réalisation des opérations médicales mentionnées et que l'inscription d'assistant opératoire n'avait pas d'autre but que de permettre à E.________ Sàrl de facturer aux caisses et assurances une prestation inexistante et rendre, le cas échéant, particulièrement délicate une éventuelle contestation du contenu des factures établies sur la base desdits documents. Il a par conséquent admis que ces protocoles opératoires revêtaient une valeur probante accrue.</w:t>
      </w:r>
    </w:p>
    <w:p>
      <w:r>
        <w:t>En l'occurrence, la question de savoir si ces protocoles - qui n'étaient pas transmis aux assureurs avec les factures d'honoraires et restaient dans les dossiers des patients - constituent réellement des titres au sens de l' art. 251 CP peut rester ouverte. En effet, la seule production des factures (cf. supra consid. 2.2.1), lesquelles constituent des faux intellectuels, dans le but avéré de procurer un avantage illicite au centre E.________ Sàrl, suffit à fonder la condamnation du recourant pour faux dans les titres au sens de la disposition précitée. Par conséquent, même si l'on voulait admettre que les protocoles opératoires qualifiés de faux intellectuels ne puissent être considérés comme tels, cette circonstance ne pourrait avoir d'incidence que sur la quotité de la peine. Or, cette incidence serait insignifiante et ne justifierait aucune réduction de la sanction au vu de la culpabilité de l'intéressé résultant de l'ensemble des infractions commises et de la sanction finalement légère qui lui a été infligée.</w:t>
      </w:r>
    </w:p>
    <w:p>
      <w:r>
        <w:rPr>
          <w:b/>
        </w:rPr>
        <w:t>E. 2.3</w:t>
      </w:r>
    </w:p>
    <w:p>
      <w:r>
        <w:t>Le recourant nie la réalisation de l'aspect subjectif de l'infraction.</w:t>
      </w:r>
    </w:p>
    <w:p>
      <w:r>
        <w:rPr>
          <w:b/>
        </w:rPr>
        <w:t>E. 2.3.1</w:t>
      </w:r>
    </w:p>
    <w:p>
      <w:r>
        <w:t>Déterminer ce qu'une personne a su, envisagé, voulu ou accepté, de même la détermination de son dessein ou de ses mobiles, relève des constatations de faits, qui lient la Cour de droit pénal, à moins que ceux-ci n'aient été établis de façon manifestement inexacte. C'est en revanche une question de droit que de savoir si l'autorité inférieure s'est fondée sur une juste conception de la notion d'intention et si, sur la base des faits qu'elle a retenus, elle a correctement appliqué cette notion ( ATF 119 IV 1 consid. 5a p. 2 s.).</w:t>
      </w:r>
    </w:p>
    <w:p>
      <w:r>
        <w:rPr>
          <w:b/>
        </w:rPr>
        <w:t>E. 2.3.2</w:t>
      </w:r>
    </w:p>
    <w:p>
      <w:r>
        <w:t>Dans son argumentation, le recourant se contente de nier toute intention d'avoir voulu ou même accepté l'idée de tromper autrui avec le système de facturation mis en place. Il ne conteste toutefois pas l'appréciation des preuves effectuée par le juge cantonal à ce sujet ni même n'allègue l'arbitraire. Sa critique relative à l'aspect subjectif de l'infraction de faux dans les titres est insuffisamment motivée au regard de l' art. 106 al. 2 LTF et par conséquent irrecevable.</w:t>
      </w:r>
    </w:p>
    <w:p>
      <w:r>
        <w:rPr>
          <w:b/>
        </w:rPr>
        <w:t>E. 3</w:t>
      </w:r>
    </w:p>
    <w:p>
      <w:r>
        <w:t>Le recourant conteste sa condamnation pour escroquerie.</w:t>
      </w:r>
    </w:p>
    <w:p>
      <w:r>
        <w:rPr>
          <w:b/>
        </w:rPr>
        <w:t>E. 3.1</w:t>
      </w:r>
    </w:p>
    <w:p>
      <w:r>
        <w:t>Il reproche au juge cantonal d'avoir défini la notion « d'assistance opératoire » sans s'être adjoint le concours d'un expert en la matière et estime que la définition donnée est insoutenable.</w:t>
      </w:r>
    </w:p>
    <w:p>
      <w:r>
        <w:rPr>
          <w:b/>
        </w:rPr>
        <w:t>E. 3.1.1</w:t>
      </w:r>
    </w:p>
    <w:p>
      <w:r>
        <w:t>Tel qu'il est garanti à l' art. 29 al. 2 Cst. , le droit d'être entendu comprend notamment le droit pour l'intéressé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132 V 368 consid. 3.1 p. 371; 129 II 497 consid. 2.2 p. 504 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125 I 127 consid. 6c/cc in fine p. 135).</w:t>
      </w:r>
    </w:p>
    <w:p>
      <w:r>
        <w:rPr>
          <w:b/>
        </w:rPr>
        <w:t>E. 3.1.2</w:t>
      </w:r>
    </w:p>
    <w:p>
      <w:r>
        <w:t>L'art. 10 al. 1 de l'ordonnance du 20 novembre 1996 sur le subventionnement des honoraires des médecins hospitaliers (RS/VS 811.11), entrée en vigueur le 1er décembre 1996, prescrit que les médecins hospitaliers ne perçoivent leurs honoraires que sur la base des actes qu'ils ont personnellement effectués ou pour lesquels ils sont personnellement intervenus par leur présence.</w:t>
      </w:r>
    </w:p>
    <w:p>
      <w:r>
        <w:t>Le 25 mars 1986, l'association suisse des établissements hospitaliers (VESKA), la fédération des médecins suisses (FMH), la commission des tarifs médicaux LAA (CTM), l'assurance-invalidité (AI) - représentée par l'office fédéral des assurances sociales (OFAS) -, l'office fédéral de l'assurance militaire (OFAM) et le concordat des caisses-maladie suisses (CCMS), avec l'agrément de la conférence des directeurs cantonaux des affaires sanitaires (CDS), se sont entendus pour établir et publier un catalogue commun des prestations hospitalières (CPH). Ce catalogue avait pour but de mettre sur pied des règles propres à évaluer les prestations médicales des hôpitaux. Par décision du 23 avril 1997, le Conseil d'Etat valaisan a décidé d'appliquer le CPH pour les activités chirurgicales de E.________ Sàrl. Ce catalogue spécifie expressément ce qui suit: « L'assistance d'un médecin ne peut être portée en compte pour les interventions sanglantes que lorsqu'elle est nécessaire et a été vraiment fournie. En plus de la taxe pour assistance, il ne peut être porté en compte aucune prestation supplémentaire (taxe de consultation ou de visite, indemnité de déplacement, vacation) ».</w:t>
      </w:r>
    </w:p>
    <w:p>
      <w:r>
        <w:rPr>
          <w:b/>
        </w:rPr>
        <w:t>E. 3.1.3</w:t>
      </w:r>
    </w:p>
    <w:p>
      <w:r>
        <w:t>Au regard de la disposition et du catalogue précités, on doit comprendre que l'assistance opératoire ne peut être portée en compte que lorsqu'elle est nécessaire et a été effectivement fournie. Une assistance opératoire ne peut dès lors être facturée que si elle correspond à une prestation réelle. Par ailleurs, dans le sens courant, assister un médecin opérateur signifie le seconder, soit l'aider, l'accompagner (cf. définition du Petit Robert) et impose par conséquent une présence du médecin assistant à proximité immédiate du premier nommé. On pense d'abord à la présence permanente et effective de l'assistant aux côtés du médecin principal lors de l'intervention chirurgicale. On peut encore admettre une assistance opératoire lorsque le médecin assistant, clairement informé de l'opération en cours, ne participe pas directement aux actes opératoires, mais se trouve prêt à intervenir à tout moment selon les indications du responsable (cf. KUHN, Operationsbereit anwesender Chefarzt darf Privathonorar in Rechnung stellen, Zur Definition der persönlichen Leistungspflicht, in Bulletin des médecins suisses, vol. 74, cahier 44/1993 p. 1704 ss). En outre, les médecins auditionnés lors de l'instruction de la présente affaire ont également interprété cette notion dans le sens précité, soit dans un sens plus restrictif que celui que souhaite lui donner le recourant (cf. jugement du 8 juin 2009 p. 14 à 17).</w:t>
      </w:r>
    </w:p>
    <w:p>
      <w:r>
        <w:t>Ainsi, il n'y a pas d'assistance opératoire lorsque le praticien, certes présent dans les locaux de la clinique, n'est pas équipé d'une blouse stérile ou se trouve dans l'ignorance de l'intervention en cours. Toute facturation d'une assistance opératoire dans ces circonstances est injustifiée et constitue par conséquent une rémunération d'une prestation inexistante. Pour le reste, au vu notamment de la législation existante au moment des faits, du contenu du CPH et des témoignages de plusieurs médecins sur cette notion « d'assistance opératoire », le juge cantonal pouvait, sans arbitraire, admettre qu'une expertise médicale n'était pas nécessaire pour définir ce concept. La critique est donc infondée.</w:t>
      </w:r>
    </w:p>
    <w:p>
      <w:r>
        <w:rPr>
          <w:b/>
        </w:rPr>
        <w:t>E. 3.2</w:t>
      </w:r>
    </w:p>
    <w:p>
      <w:r>
        <w:t>Le recourant nie l'existence d'une tromperie par affirmations fallacieuses ainsi que le caractère astucieux de celle-ci.</w:t>
      </w:r>
    </w:p>
    <w:p>
      <w:r>
        <w:rPr>
          <w:b/>
        </w:rPr>
        <w:t>E. 3.2.1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3.2.1.1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(B. CORBOZ, Les infractions en droit suisse, vol. I, ad art. 146 n° 5).</w:t>
      </w:r>
    </w:p>
    <w:p>
      <w:r>
        <w:rPr>
          <w:b/>
        </w:rPr>
        <w:t>E. 3.2.1.2</w:t>
      </w:r>
    </w:p>
    <w:p>
      <w:r>
        <w:t>L'astuce est réalisée non seulement lorsque l'auteur recourt à un édifice de mensonges, à des manoeuvres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 ATF 133 IV 256 consid. 4.4.3; 128 IV 18 consid. 3a p. 20). Tel est notamment le cas si l'auteur exploite un rapport de confiance préexistant qui dissuade la dupe de vérifier ( ATF 122 IV 246 consid. 3a p. 248) ou encore si la dupe, en raison de sa situation personnelle (faiblesse d'esprit, inexpérience, grand âge ou maladie), n'est pas en mesure de procéder à une vérification et que l'auteur exploite cette situation ( ATF 120 IV 186 consid. 1a p. 188).</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que commandaient les circonstances ( ATF 128 IV 18 consid. 3a p. 20).</w:t>
      </w:r>
    </w:p>
    <w:p>
      <w:r>
        <w:rPr>
          <w:b/>
        </w:rPr>
        <w:t>E. 3.2.2</w:t>
      </w:r>
    </w:p>
    <w:p>
      <w:r>
        <w:t>En l'espèce, le recourant et sa fille ont facturé aux caisses-maladie, à plus de 100 reprises, des assistances opératoires, alors que celles-ci n'avaient pas été effectuées et n'avaient dès lors pas à être comptabilisées (cf. supra consid. B.c). Ce faisant, ils ont induit les assureurs en erreur par des affirmations fallacieuses.</w:t>
      </w:r>
    </w:p>
    <w:p>
      <w:r>
        <w:rPr>
          <w:b/>
        </w:rPr>
        <w:t>E. 3.2.3</w:t>
      </w:r>
    </w:p>
    <w:p>
      <w:r>
        <w:t>En l'occurrence, les coaccusés ont confectionné des factures dont un seul poste, à savoir l'assistance opératoire, était mensonger. Celui-ci ne constituait qu'une seule rubrique parmi de nombreuses autres. Par ailleurs, il ne composait souvent qu'une petite partie du montant de la facture globale et était de peu d'importance. En plus, il était calculé dans le strict respect des règles du CPH, ce qui rendait le contrôle très difficile pour les assurances. En outre, les auteurs ont pris le soin de ne pas facturer une assistance opératoire de manière systématique. Ils ont agi par intermittence pour ne pas éveiller l'attention des caisses concernées. Ils ont également évité de facturer des cas où les caisses n'acceptaient pas, quoi qu'il en soit, une assistance. Enfin, ils ont adressé les factures non pas à une seule et même caisse, mais à de nombreuses assurances différentes. Dans ces circonstances, les accusés pouvaient raisonnablement prévoir que les caisses concernées n'allaient pas procéder à des vérifications détaillées, difficiles et onéreuses. Ils ont par conséquent agi de manière astucieuse.</w:t>
      </w:r>
    </w:p>
    <w:p>
      <w:r>
        <w:rPr>
          <w:b/>
        </w:rPr>
        <w:t>E. 3.2.4</w:t>
      </w:r>
    </w:p>
    <w:p>
      <w:r>
        <w:t>Certes, la LAMal impose aux caisses-maladie d'examiner les factures qui leur sont soumises pour déterminer en particulier le caractère économique des prestations (cf. art. 56 LAMal ; ATF 6S.323/2006 du 4 avril 2007 consid. 3). Reste que ce devoir de vérification n'est pas illimité (ATF 6S.22/2007 du 4 mai 2007 consid. 9.2). Or, dans le cas particulier, il était extrêmement délicat pour les caisses de vérifier et, encore plus, de contester la pertinence de la facturation des assistances opératoires. En effet, d'une part, les prestations facturées mais non fournies n'étaient pas inadmissibles au regard de l' art. 56 LAMal et des listes établies par les assurances, puisque les accusés avaient pris le soin de ne pas facturer de telles assistances dans les cas où les caisses ne les acceptaient pas. D'autre part, la nécessité d'une assistance pour telle ou telle opération relève souvent de l'appréciation et les caisses concernées auraient dû procéder à des examens très détaillés des prestations opératoires fournies en recourant à des spécialistes. Or, vu les montants en jeu, le coût des démarches et le temps nécessaire pour déterminer si chaque assistance était réellement justifiée dans le cadre d'opérations où elle était en principe admise, des investigations menées par les médecins conseils des caisses auraient été peu adéquates et disproportionnées. Dans ces circonstances, on ne saurait reprocher aux différentes assurances concernées de ne pas avoir adopté les mesures de prudence adéquates et nécessaires.</w:t>
      </w:r>
    </w:p>
    <w:p>
      <w:r>
        <w:rPr>
          <w:b/>
        </w:rPr>
        <w:t>E. 3.2.5</w:t>
      </w:r>
    </w:p>
    <w:p>
      <w:r>
        <w:t>Pour le reste, le recourant ne conteste pas, à juste titre, la réalisation des autres conditions de l'escroquerie. Partant, sa condamnation ne viole pas l' art. 146 CP .</w:t>
      </w:r>
    </w:p>
    <w:p>
      <w:r>
        <w:rPr>
          <w:b/>
        </w:rPr>
        <w:t>E. 4</w:t>
      </w:r>
    </w:p>
    <w:p>
      <w:r>
        <w:t>Le recours est rejeté dans la mesure où il est recevable. Comme ses conclusions étaient dénuées de chance de succès, le recourant doit être débouté de sa demande d'assistance judiciaire ( art. 64 al. 1 LTF a contrario) et supporter les frais de justice ( art. 66 al. 1 LTF ). Ceux-ci seront réduits pour tenir compte de la situation financière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