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6B_587/2018 vom 22. August 2018</w:t>
      </w:r>
    </w:p>
    <w:p>
      <w:r>
        <w:t>Bundesgericht, 2018-08-22, FR</w:t>
      </w:r>
    </w:p>
    <w:p>
      <w:r>
        <w:rPr>
          <w:b/>
        </w:rPr>
        <w:t xml:space="preserve">Quelle: </w:t>
      </w:r>
      <w:r>
        <w:t>https://mcp.opencaselaw.ch/entscheid/bger_6B_587_2018</w:t>
      </w:r>
    </w:p>
    <w:p>
      <w:r>
        <w:t>FR: TF 6B_587/2018 du 22 août 2018</w:t>
      </w:r>
    </w:p>
    <w:p>
      <w:r>
        <w:t>IT: TF 6B_587/2018 del 22 agosto 2018</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Les recours au Tribunal fédéral sont recevables contre les décisions finales ( art. 90 LTF ), les décisions partielles au sens de l' art. 91 LTF et les décisions préjudicielles ou incidentes aux conditions prévues par les art. 92 et 93 LTF .</w:t>
      </w:r>
    </w:p>
    <w:p>
      <w:r>
        <w:t>Un arrêt de renvoi constitue, en principe, une décision incidente ( ATF 138 I 143 consid. 1.2 p. 148; cf. aussi arrêt 6B_1115/2015 du 14 mars 2016 consid. 4 et les références citées) contre laquelle le recours au Tribunal fédéral n'est ouvert qu'aux conditions des art. 92 et 93 LTF (arrêt 2C_258/2017 du 2 juillet 2018 consid. 2.2.1). Un tel arrêt est néanmoins considéré comme final si l'autorité à laquelle l'affaire est renvoyée n'a aucune marge de manoeuvre, notamment lorsqu'il ne lui reste plus qu'à appliquer des principes définis dans la décision de renvoi (cf. ATF 138 I 143 consid. 1.2 p. 148; 135 V 141 consid. 1.1 p. 143; arrêt 2C_258/2017 précité consid. 2.2.1; 6B_1203/2017 du 1er novembre 2017 consid. 1).</w:t>
      </w:r>
    </w:p>
    <w:p>
      <w:r>
        <w:t>En l'espèce, la décision attaquée annule l'ordonnance entreprise devant la cour cantonale et renvoie la cause au Ministère public pour qu'il poursuive l'instruction. Ce faisant, elle ne met pas fin à la procédure et doit, conformément à la jurisprudence précitée, être qualifiée de décision incidente.</w:t>
      </w:r>
    </w:p>
    <w:p>
      <w:r>
        <w:rPr>
          <w:b/>
        </w:rPr>
        <w:t>E. 1.2</w:t>
      </w:r>
    </w:p>
    <w:p>
      <w:r>
        <w:t>Dès lors qu'elle ne porte pas sur la compétence ou sur une demande de récusation ( art. 92 LTF ), la décision attaquée ne peut faire l'objet d'un recours en matière pénale ( art. 78 ss LTF )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 Il appartient au recourant d'expliquer en quoi la décision incidente qu'il attaque remplit les conditions de l' art. 93 al. 1 LTF , à moins que celles-ci ne fassent d'emblée aucun doute ( ATF 136 IV 92 consid. 4 p. 95; plus récemment: arrêt 6B_1186/2017 du 22 décembre 2017 consid. 1.2).</w:t>
      </w:r>
    </w:p>
    <w:p>
      <w:r>
        <w:t>Le recourant ne discute pas ces éléments. On ne discerne pas, quoi qu'il en soit, quel préjudice irréparable (sur la notion: cf. arrêts 6B_703/2018 du 8 août 2018 et les références citées; 6B_1186/2017 précité consid. 1.2.1) l'arrêt querellé serait susceptible de lui causer, dès lors que le Ministère public est simplement enjoint de reprendre l'instruction. On ne discerne pas non plus en quoi ce dernier se trouverait exposé, en l'espèce, à une procédure probatoire qui, de par son coût ou sa durée, risquerait de s'écarter notablement des procès habituels (cf. arrêt 6B_1186/2017 précité consid. 1.2.2), sachant de surcroît que l' art. 93 al. 1 let. b CPP n'est généralement pas applicable en matière pénale ( ATF 144 IV 127 consid. 1.3 p. 130; 141 IV 284 consid. 2 p. 286).</w:t>
      </w:r>
    </w:p>
    <w:p>
      <w:r>
        <w:t>En définitive, aucune des deux conditions alternatives de l' art. 93 al. 1 LTF n'est réalisée. Le jugement attaqué ne peut donc pas faire l'objet d'un recours immédiat au Tribunal fédéral, étant précisé que le recourant pourra faire valoir ses moyens de défense devant le juge du fond.</w:t>
      </w:r>
    </w:p>
    <w:p>
      <w:r>
        <w:t>Le recours doit quoi qu'il en soit être déclaré irrecevable selon la procédure simplifiée prévue par l' art. 108 al. 1 let. a LTF .</w:t>
      </w:r>
    </w:p>
    <w:p>
      <w:r>
        <w:rPr>
          <w:b/>
        </w:rPr>
        <w:t>E. 2</w:t>
      </w:r>
    </w:p>
    <w:p>
      <w:r>
        <w:t>Comme les conclusions du recours étaient dépourvues de chances de succès, l'assistance judiciaire ne peut pas être accordée ( art. 64 al. 1 LTF ). Le recourant devra donc supporter les frais ( art. 66 al. 1 LTF ), dont le montant sera toutefois fixé en tenant compte de sa situation financière, qui n'apparaît pas favorable.</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