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6B_587/2016 vom 16. Juni 2016</w:t>
      </w:r>
    </w:p>
    <w:p>
      <w:r>
        <w:t>Bundesgericht, 2016-06-16, FR</w:t>
      </w:r>
    </w:p>
    <w:p>
      <w:r>
        <w:rPr>
          <w:b/>
        </w:rPr>
        <w:t xml:space="preserve">Quelle: </w:t>
      </w:r>
      <w:r>
        <w:t>https://mcp.opencaselaw.ch/entscheid/bger_6B_587_2016</w:t>
      </w:r>
    </w:p>
    <w:p>
      <w:r>
        <w:t>FR: TF 6B_587/2016 du 16 juin 2016</w:t>
      </w:r>
    </w:p>
    <w:p>
      <w:r>
        <w:t>IT: TF 6B_587/2016 del 16 giugno 2016</w:t>
      </w:r>
    </w:p>
    <w:p>
      <w:pPr>
        <w:pStyle w:val="Heading2"/>
      </w:pPr>
      <w:r>
        <w:t>Erwägungen</w:t>
      </w:r>
    </w:p>
    <w:p>
      <w:r>
        <w:rPr>
          <w:b/>
        </w:rPr>
        <w:t>E. 1</w:t>
      </w:r>
    </w:p>
    <w:p>
      <w:r>
        <w:t>Par arrêt du 21 avril 2016, la Chambre pénale d'appel et de révision de la Cour de justice genevoise a déclaré irrecevable l'appel interjeté par X.________ contre le jugement du Tribunal de police du 27 janvier 2016 condamnant l'intéressé à 60 jours-amende à 20 fr. le jour, sous déduction d'un jour de détention avant jugement, ainsi que 300 fr. d'amende, pour séjour illégal et contravention à la loi fédérale sur les stupéfiants. En bref, la cour cantonale a retenu que nonobstant l'indication figurant au bas du dispositif de cette décision, l'annonce d'appel expédiée par le recourant le 5 février 2016 n'avait pas été suivie d'une déclaration d'appel.</w:t>
      </w:r>
    </w:p>
    <w:p>
      <w:r>
        <w:rPr>
          <w:b/>
        </w:rPr>
        <w:t>E. 2</w:t>
      </w:r>
    </w:p>
    <w:p>
      <w:r>
        <w:t>Par acte remis à un bureau de poste le 23 mai 2016, X.________ indique vouloir faire recours au Tribunal fédéral, précisant contester avoir détenu des stupéfiants, avoir ignoré que des amendes lui auraient été infligées et souhaiter quitter la Suisse. Par courrier du 13 juin 2016, X.________ a, par ailleurs, requis l'assistance judiciaire, soit la dispense de l'avance des frais de procédure.</w:t>
      </w:r>
    </w:p>
    <w:p>
      <w:r>
        <w:rPr>
          <w:b/>
        </w:rPr>
        <w:t>E. 3</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w:t>
      </w:r>
    </w:p>
    <w:p>
      <w:r>
        <w:t>En l'espèce, la décision cantonale porte exclusivement sur les conditions de recevabilité formelle de l'appel. Dans son écriture de recours, le recourant discute, quant à lui, exclusivement le fond de la cause et ne développe, partant, aucune argumentation pertinente en relation avec l'objet du litige tel qu'il est délimité par la décision de dernière instance cantonale ( art. 80 al. 1 LTF ). Le recours doit être écarté en application de l' art. 108 al. 1 let. b LTF .</w:t>
      </w:r>
    </w:p>
    <w:p>
      <w:r>
        <w:rPr>
          <w:b/>
        </w:rPr>
        <w:t>E. 4</w:t>
      </w:r>
    </w:p>
    <w:p>
      <w:r>
        <w:t>Comme les conclusions du recours étaient d'emblée vouées à l'échec, l'assistance judiciaire ne peut pas être accordée ( art. 64 al. 1 LTF ). Le recourant devra donc supporter les frais judiciaires,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